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496A4" w14:textId="63C88B79" w:rsidR="0034009B" w:rsidRDefault="00000533" w:rsidP="00C97A00">
      <w:pPr>
        <w:spacing w:before="24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noProof/>
          <w:sz w:val="44"/>
          <w:szCs w:val="44"/>
        </w:rPr>
        <w:drawing>
          <wp:inline distT="0" distB="0" distL="0" distR="0" wp14:anchorId="1F9B9ACB" wp14:editId="6C85FC2E">
            <wp:extent cx="1528977" cy="3746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130" cy="375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0736F" w14:textId="77777777" w:rsidR="00605073" w:rsidRDefault="00CE762A" w:rsidP="000C6E77">
      <w:pPr>
        <w:jc w:val="center"/>
        <w:rPr>
          <w:rFonts w:ascii="Century Gothic" w:hAnsi="Century Gothic"/>
          <w:b/>
          <w:bCs/>
          <w:sz w:val="44"/>
          <w:szCs w:val="44"/>
        </w:rPr>
      </w:pPr>
      <w:r>
        <w:rPr>
          <w:rFonts w:ascii="Century Gothic" w:hAnsi="Century Gothic"/>
          <w:b/>
          <w:bCs/>
          <w:sz w:val="44"/>
          <w:szCs w:val="44"/>
        </w:rPr>
        <w:t>202</w:t>
      </w:r>
      <w:r w:rsidR="000C6E77">
        <w:rPr>
          <w:rFonts w:ascii="Century Gothic" w:hAnsi="Century Gothic"/>
          <w:b/>
          <w:bCs/>
          <w:sz w:val="44"/>
          <w:szCs w:val="44"/>
        </w:rPr>
        <w:t xml:space="preserve">3 </w:t>
      </w:r>
    </w:p>
    <w:p w14:paraId="6D053BAF" w14:textId="6B2C3647" w:rsidR="00605073" w:rsidRDefault="00A861DD" w:rsidP="00605073">
      <w:pPr>
        <w:jc w:val="center"/>
        <w:rPr>
          <w:rFonts w:ascii="Century Gothic" w:hAnsi="Century Gothic"/>
          <w:b/>
          <w:bCs/>
          <w:sz w:val="44"/>
          <w:szCs w:val="44"/>
        </w:rPr>
      </w:pPr>
      <w:r>
        <w:rPr>
          <w:rFonts w:ascii="Century Gothic" w:hAnsi="Century Gothic"/>
          <w:b/>
          <w:bCs/>
          <w:sz w:val="44"/>
          <w:szCs w:val="44"/>
        </w:rPr>
        <w:t>Carve Out Benefits</w:t>
      </w:r>
    </w:p>
    <w:p w14:paraId="237FF4D2" w14:textId="1435BFA1" w:rsidR="00F967D7" w:rsidRPr="00605073" w:rsidRDefault="000C6E77" w:rsidP="00605073">
      <w:pPr>
        <w:jc w:val="center"/>
        <w:rPr>
          <w:rFonts w:ascii="Century Gothic" w:hAnsi="Century Gothic"/>
          <w:b/>
          <w:bCs/>
          <w:sz w:val="44"/>
          <w:szCs w:val="44"/>
        </w:rPr>
      </w:pPr>
      <w:r>
        <w:rPr>
          <w:rFonts w:ascii="Century Gothic" w:hAnsi="Century Gothic"/>
          <w:b/>
          <w:bCs/>
          <w:sz w:val="44"/>
          <w:szCs w:val="44"/>
        </w:rPr>
        <w:t>Talking Points</w:t>
      </w:r>
    </w:p>
    <w:p w14:paraId="44BA5910" w14:textId="7B57EEC2" w:rsidR="00302766" w:rsidRPr="00F967D7" w:rsidRDefault="00302766" w:rsidP="00302766">
      <w:pPr>
        <w:rPr>
          <w:rFonts w:ascii="Century Gothic" w:hAnsi="Century Gothic"/>
          <w:u w:val="single"/>
        </w:rPr>
      </w:pPr>
    </w:p>
    <w:p w14:paraId="775C3452" w14:textId="7F7BBDA8" w:rsidR="00F967D7" w:rsidRPr="00F967D7" w:rsidRDefault="00F967D7" w:rsidP="00F967D7"/>
    <w:p w14:paraId="5E585709" w14:textId="1A2B36D5" w:rsidR="00F967D7" w:rsidRDefault="00166028" w:rsidP="00C97A00">
      <w:pPr>
        <w:pStyle w:val="Heading1"/>
        <w:ind w:left="540"/>
        <w:rPr>
          <w:color w:val="000000" w:themeColor="text1"/>
        </w:rPr>
      </w:pPr>
      <w:r>
        <w:rPr>
          <w:color w:val="000000" w:themeColor="text1"/>
        </w:rPr>
        <w:t>Table of Contents</w:t>
      </w:r>
      <w:r w:rsidR="000E6CF2">
        <w:rPr>
          <w:color w:val="000000" w:themeColor="text1"/>
        </w:rPr>
        <w:t>:</w:t>
      </w:r>
      <w:r w:rsidR="00F967D7" w:rsidRPr="007B4BF4">
        <w:rPr>
          <w:noProof/>
          <w:color w:val="000000" w:themeColor="text1"/>
        </w:rPr>
        <w:fldChar w:fldCharType="begin"/>
      </w:r>
      <w:r w:rsidR="00F967D7" w:rsidRPr="007B4BF4">
        <w:rPr>
          <w:color w:val="000000" w:themeColor="text1"/>
        </w:rPr>
        <w:instrText xml:space="preserve"> TOC \o "1-3" \h \z \u </w:instrText>
      </w:r>
      <w:r w:rsidR="00F967D7" w:rsidRPr="007B4BF4">
        <w:rPr>
          <w:noProof/>
          <w:color w:val="000000" w:themeColor="text1"/>
        </w:rPr>
        <w:fldChar w:fldCharType="separate"/>
      </w:r>
    </w:p>
    <w:p w14:paraId="632F860F" w14:textId="46A8BE49" w:rsidR="00CD0636" w:rsidRPr="00CD0636" w:rsidRDefault="00F12071" w:rsidP="00CD0636">
      <w:pPr>
        <w:pStyle w:val="TOC1"/>
        <w:tabs>
          <w:tab w:val="clear" w:pos="9360"/>
          <w:tab w:val="right" w:leader="dot" w:pos="10260"/>
        </w:tabs>
        <w:ind w:left="-90" w:firstLine="630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2A6027">
        <w:rPr>
          <w:color w:val="000000" w:themeColor="text1"/>
        </w:rPr>
        <w:t xml:space="preserve">  </w:t>
      </w:r>
      <w:r w:rsidR="00A861DD">
        <w:rPr>
          <w:color w:val="000000" w:themeColor="text1"/>
        </w:rPr>
        <w:t>Transportation</w:t>
      </w:r>
      <w:r w:rsidR="009525A8">
        <w:rPr>
          <w:color w:val="000000" w:themeColor="text1"/>
        </w:rPr>
        <w:t xml:space="preserve"> (e.g., Gurney </w:t>
      </w:r>
      <w:r w:rsidR="002C2D73">
        <w:rPr>
          <w:color w:val="000000" w:themeColor="text1"/>
        </w:rPr>
        <w:t>Level Transportation</w:t>
      </w:r>
      <w:r w:rsidR="009525A8">
        <w:rPr>
          <w:color w:val="000000" w:themeColor="text1"/>
        </w:rPr>
        <w:t>)</w:t>
      </w:r>
      <w:r w:rsidR="00000533" w:rsidRPr="00C660BE">
        <w:rPr>
          <w:webHidden/>
          <w:color w:val="000000" w:themeColor="text1"/>
        </w:rPr>
        <w:tab/>
      </w:r>
      <w:r w:rsidR="00166028">
        <w:rPr>
          <w:webHidden/>
          <w:color w:val="000000" w:themeColor="text1"/>
        </w:rPr>
        <w:t xml:space="preserve">Page </w:t>
      </w:r>
      <w:r w:rsidR="0017474F">
        <w:rPr>
          <w:webHidden/>
          <w:color w:val="000000" w:themeColor="text1"/>
        </w:rPr>
        <w:t>2</w:t>
      </w:r>
    </w:p>
    <w:p w14:paraId="4DC890B6" w14:textId="54DD8534" w:rsidR="00CD0636" w:rsidRDefault="00CD0636" w:rsidP="00CD0636">
      <w:pPr>
        <w:pStyle w:val="TOC1"/>
        <w:tabs>
          <w:tab w:val="clear" w:pos="9360"/>
          <w:tab w:val="right" w:leader="dot" w:pos="10260"/>
        </w:tabs>
        <w:ind w:left="-90" w:firstLine="630"/>
        <w:rPr>
          <w:webHidden/>
          <w:color w:val="000000" w:themeColor="text1"/>
        </w:rPr>
      </w:pPr>
      <w:r>
        <w:rPr>
          <w:color w:val="000000" w:themeColor="text1"/>
        </w:rPr>
        <w:t xml:space="preserve">2.  </w:t>
      </w:r>
      <w:r w:rsidRPr="00477E4D">
        <w:rPr>
          <w:color w:val="auto"/>
        </w:rPr>
        <w:t xml:space="preserve"> </w:t>
      </w:r>
      <w:r w:rsidR="00D6148C" w:rsidRPr="00477E4D">
        <w:rPr>
          <w:color w:val="auto"/>
        </w:rPr>
        <w:t>I</w:t>
      </w:r>
      <w:r w:rsidRPr="00477E4D">
        <w:rPr>
          <w:color w:val="auto"/>
        </w:rPr>
        <w:t>tems not reflected in EOC</w:t>
      </w:r>
      <w:r w:rsidR="00D6148C" w:rsidRPr="00477E4D">
        <w:rPr>
          <w:color w:val="auto"/>
        </w:rPr>
        <w:t xml:space="preserve"> or Benefit Grid</w:t>
      </w:r>
      <w:r w:rsidRPr="00C660BE">
        <w:rPr>
          <w:webHidden/>
          <w:color w:val="000000" w:themeColor="text1"/>
        </w:rPr>
        <w:tab/>
      </w:r>
      <w:r>
        <w:rPr>
          <w:webHidden/>
          <w:color w:val="000000" w:themeColor="text1"/>
        </w:rPr>
        <w:t xml:space="preserve">Page </w:t>
      </w:r>
      <w:r w:rsidR="00582E8E">
        <w:rPr>
          <w:webHidden/>
          <w:color w:val="000000" w:themeColor="text1"/>
        </w:rPr>
        <w:t>2</w:t>
      </w:r>
      <w:r w:rsidR="00477E4D">
        <w:rPr>
          <w:webHidden/>
          <w:color w:val="000000" w:themeColor="text1"/>
        </w:rPr>
        <w:t xml:space="preserve"> &amp;3</w:t>
      </w:r>
    </w:p>
    <w:p w14:paraId="586C744E" w14:textId="45C1A29B" w:rsidR="00477E4D" w:rsidRPr="00477E4D" w:rsidRDefault="00477E4D" w:rsidP="00477E4D">
      <w:r>
        <w:t xml:space="preserve">          </w:t>
      </w:r>
    </w:p>
    <w:p w14:paraId="096BC53E" w14:textId="05D76D57" w:rsidR="00000533" w:rsidRPr="00920449" w:rsidRDefault="00000533" w:rsidP="00A861DD">
      <w:pPr>
        <w:pStyle w:val="TOC1"/>
        <w:tabs>
          <w:tab w:val="clear" w:pos="9360"/>
          <w:tab w:val="right" w:leader="dot" w:pos="10260"/>
        </w:tabs>
        <w:ind w:left="-90" w:firstLine="630"/>
        <w:rPr>
          <w:webHidden/>
          <w:color w:val="000000" w:themeColor="text1"/>
        </w:rPr>
      </w:pPr>
    </w:p>
    <w:p w14:paraId="590E2AC2" w14:textId="756EEB85" w:rsidR="001E152C" w:rsidRDefault="001662D3">
      <w:pPr>
        <w:rPr>
          <w:webHidden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4E4B92" wp14:editId="78EA4D6A">
                <wp:simplePos x="0" y="0"/>
                <wp:positionH relativeFrom="column">
                  <wp:posOffset>533400</wp:posOffset>
                </wp:positionH>
                <wp:positionV relativeFrom="paragraph">
                  <wp:posOffset>3122295</wp:posOffset>
                </wp:positionV>
                <wp:extent cx="952500" cy="2476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A1BA03" w14:textId="7D662213" w:rsidR="001662D3" w:rsidRPr="001662D3" w:rsidRDefault="001662D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662D3">
                              <w:rPr>
                                <w:sz w:val="14"/>
                                <w:szCs w:val="14"/>
                              </w:rPr>
                              <w:t>Member Plan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4E4B9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2pt;margin-top:245.85pt;width:7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" fillcolor="white [3201]" strokeweight=".5pt">
                <v:textbox>
                  <w:txbxContent>
                    <w:p w14:paraId="71A1BA03" w14:textId="7D662213" w:rsidR="001662D3" w:rsidRPr="001662D3" w:rsidRDefault="001662D3">
                      <w:pPr>
                        <w:rPr>
                          <w:sz w:val="14"/>
                          <w:szCs w:val="14"/>
                        </w:rPr>
                      </w:pPr>
                      <w:r w:rsidRPr="001662D3">
                        <w:rPr>
                          <w:sz w:val="14"/>
                          <w:szCs w:val="14"/>
                        </w:rPr>
                        <w:t>Member Plan Name</w:t>
                      </w:r>
                    </w:p>
                  </w:txbxContent>
                </v:textbox>
              </v:shape>
            </w:pict>
          </mc:Fallback>
        </mc:AlternateContent>
      </w:r>
      <w:r w:rsidR="009042B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AC122" wp14:editId="2B32C42C">
                <wp:simplePos x="0" y="0"/>
                <wp:positionH relativeFrom="margin">
                  <wp:posOffset>-95250</wp:posOffset>
                </wp:positionH>
                <wp:positionV relativeFrom="paragraph">
                  <wp:posOffset>1970405</wp:posOffset>
                </wp:positionV>
                <wp:extent cx="7156174" cy="3333750"/>
                <wp:effectExtent l="0" t="0" r="2603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6174" cy="333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BF4D91" w14:textId="77777777" w:rsidR="00A861DD" w:rsidRPr="00C660BE" w:rsidRDefault="00A861DD" w:rsidP="00A861D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This document is to service as a guide. Providers/venders are responsible to check member eligibility as well as reference the member specific Evidence of Coverage and Benefit Grid for coverage:</w:t>
                            </w:r>
                          </w:p>
                          <w:p w14:paraId="000F5D1E" w14:textId="7C253F50" w:rsidR="00A861DD" w:rsidRPr="00C97A00" w:rsidRDefault="00A861DD" w:rsidP="00A861D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20"/>
                              <w:ind w:left="720"/>
                              <w:contextualSpacing w:val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C97A00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The Member’s Evidence of Coverage (EOC</w:t>
                            </w:r>
                            <w:r w:rsidRPr="00C97A00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) - </w:t>
                            </w:r>
                            <w:r w:rsidRPr="00C97A00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Chapter 4 Medical Benefits Chart</w:t>
                            </w:r>
                            <w:r w:rsidR="001662D3" w:rsidRPr="001662D3">
                              <w:rPr>
                                <w:noProof/>
                              </w:rPr>
                              <w:t xml:space="preserve"> </w:t>
                            </w:r>
                            <w:r w:rsidR="001662D3">
                              <w:rPr>
                                <w:noProof/>
                              </w:rPr>
                              <w:drawing>
                                <wp:inline distT="0" distB="0" distL="0" distR="0" wp14:anchorId="2B0DC13A" wp14:editId="6469EBD1">
                                  <wp:extent cx="1151996" cy="10922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3623" cy="1112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73E62B" w14:textId="77777777" w:rsidR="00A861DD" w:rsidRDefault="00A861DD" w:rsidP="00A861D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20"/>
                              <w:ind w:left="547"/>
                              <w:contextualSpacing w:val="0"/>
                            </w:pPr>
                            <w:r w:rsidRPr="00C660BE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Benefit Grid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by </w:t>
                            </w:r>
                            <w:r w:rsidRPr="00C660BE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Year under Member’s Specific Plan</w:t>
                            </w:r>
                            <w:r w:rsidRPr="00C660BE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67D7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(i.e., Balance, Classic, Connections, Embrace)</w:t>
                            </w:r>
                          </w:p>
                          <w:p w14:paraId="620B3DFE" w14:textId="792D8423" w:rsidR="009042B5" w:rsidRDefault="009042B5" w:rsidP="009042B5">
                            <w:pPr>
                              <w:rPr>
                                <w:rFonts w:ascii="Century Gothic" w:hAnsi="Century Gothic" w:cs="Arial"/>
                                <w:bCs/>
                                <w:color w:val="000000" w:themeColor="text1"/>
                              </w:rPr>
                            </w:pPr>
                          </w:p>
                          <w:p w14:paraId="6233286D" w14:textId="72E42304" w:rsidR="009042B5" w:rsidRPr="009042B5" w:rsidRDefault="009042B5" w:rsidP="009042B5">
                            <w:pPr>
                              <w:rPr>
                                <w:rFonts w:ascii="Century Gothic" w:hAnsi="Century Gothic" w:cs="Arial"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AC122" id="Text Box 2" o:spid="_x0000_s1027" type="#_x0000_t202" style="position:absolute;margin-left:-7.5pt;margin-top:155.15pt;width:563.5pt;height:26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" fillcolor="white [3201]" strokeweight=".5pt">
                <v:textbox>
                  <w:txbxContent>
                    <w:p w14:paraId="02BF4D91" w14:textId="77777777" w:rsidR="00A861DD" w:rsidRPr="00C660BE" w:rsidRDefault="00A861DD" w:rsidP="00A861DD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This document is to service as a guide. Providers/venders are responsible to check member eligibility as well as reference the member specific Evidence of Coverage and Benefit Grid for coverage:</w:t>
                      </w:r>
                    </w:p>
                    <w:p w14:paraId="000F5D1E" w14:textId="7C253F50" w:rsidR="00A861DD" w:rsidRPr="00C97A00" w:rsidRDefault="00A861DD" w:rsidP="00A861D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20"/>
                        <w:ind w:left="720"/>
                        <w:contextualSpacing w:val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C97A00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u w:val="single"/>
                        </w:rPr>
                        <w:t>The Member’s Evidence of Coverage (EOC</w:t>
                      </w:r>
                      <w:r w:rsidRPr="00C97A00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) - </w:t>
                      </w:r>
                      <w:r w:rsidRPr="00C97A00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Chapter 4 Medical Benefits Chart</w:t>
                      </w:r>
                      <w:r w:rsidR="001662D3" w:rsidRPr="001662D3">
                        <w:rPr>
                          <w:noProof/>
                        </w:rPr>
                        <w:t xml:space="preserve"> </w:t>
                      </w:r>
                      <w:r w:rsidR="001662D3">
                        <w:rPr>
                          <w:noProof/>
                        </w:rPr>
                        <w:drawing>
                          <wp:inline distT="0" distB="0" distL="0" distR="0" wp14:anchorId="2B0DC13A" wp14:editId="6469EBD1">
                            <wp:extent cx="1151996" cy="10922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3623" cy="1112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73E62B" w14:textId="77777777" w:rsidR="00A861DD" w:rsidRDefault="00A861DD" w:rsidP="00A861D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20"/>
                        <w:ind w:left="547"/>
                        <w:contextualSpacing w:val="0"/>
                      </w:pPr>
                      <w:r w:rsidRPr="00C660BE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Benefit Grid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by </w:t>
                      </w:r>
                      <w:r w:rsidRPr="00C660BE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u w:val="single"/>
                        </w:rPr>
                        <w:t>Year under Member’s Specific Plan</w:t>
                      </w:r>
                      <w:r w:rsidRPr="00C660BE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F967D7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(i.e., Balance, Classic, Connections, Embrace)</w:t>
                      </w:r>
                    </w:p>
                    <w:p w14:paraId="620B3DFE" w14:textId="792D8423" w:rsidR="009042B5" w:rsidRDefault="009042B5" w:rsidP="009042B5">
                      <w:pPr>
                        <w:rPr>
                          <w:rFonts w:ascii="Century Gothic" w:hAnsi="Century Gothic" w:cs="Arial"/>
                          <w:bCs/>
                          <w:color w:val="000000" w:themeColor="text1"/>
                        </w:rPr>
                      </w:pPr>
                    </w:p>
                    <w:p w14:paraId="6233286D" w14:textId="72E42304" w:rsidR="009042B5" w:rsidRPr="009042B5" w:rsidRDefault="009042B5" w:rsidP="009042B5">
                      <w:pPr>
                        <w:rPr>
                          <w:rFonts w:ascii="Century Gothic" w:hAnsi="Century Gothic" w:cs="Arial"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152C">
        <w:rPr>
          <w:webHidden/>
        </w:rPr>
        <w:br w:type="page"/>
      </w:r>
    </w:p>
    <w:p w14:paraId="392D5703" w14:textId="4ADD21F7" w:rsidR="00625DB4" w:rsidRPr="00625DB4" w:rsidRDefault="00625DB4" w:rsidP="00625DB4">
      <w:pPr>
        <w:pStyle w:val="TOC1"/>
        <w:rPr>
          <w:color w:val="000000" w:themeColor="text1"/>
          <w:sz w:val="12"/>
          <w:szCs w:val="14"/>
        </w:rPr>
      </w:pPr>
    </w:p>
    <w:p w14:paraId="4419998B" w14:textId="570E44EC" w:rsidR="00BC23FC" w:rsidRPr="00BC23FC" w:rsidRDefault="00F967D7" w:rsidP="00BC23FC">
      <w:pPr>
        <w:pStyle w:val="ListParagraph"/>
        <w:numPr>
          <w:ilvl w:val="0"/>
          <w:numId w:val="7"/>
        </w:numPr>
        <w:spacing w:before="240" w:after="120" w:line="240" w:lineRule="auto"/>
        <w:ind w:hanging="540"/>
        <w:jc w:val="both"/>
        <w:rPr>
          <w:rFonts w:ascii="Century Gothic" w:hAnsi="Century Gothic" w:cs="Arial"/>
          <w:b/>
          <w:color w:val="000000" w:themeColor="text1"/>
          <w:sz w:val="28"/>
          <w:szCs w:val="28"/>
          <w:highlight w:val="lightGray"/>
        </w:rPr>
      </w:pPr>
      <w:r w:rsidRPr="007B4BF4">
        <w:rPr>
          <w:rFonts w:ascii="Century Gothic" w:hAnsi="Century Gothic"/>
          <w:color w:val="000000" w:themeColor="text1"/>
        </w:rPr>
        <w:fldChar w:fldCharType="end"/>
      </w:r>
      <w:r w:rsidR="00A861DD">
        <w:rPr>
          <w:rFonts w:ascii="Century Gothic" w:hAnsi="Century Gothic" w:cs="Arial"/>
          <w:b/>
          <w:color w:val="000000" w:themeColor="text1"/>
          <w:sz w:val="28"/>
          <w:szCs w:val="28"/>
          <w:highlight w:val="lightGray"/>
        </w:rPr>
        <w:t xml:space="preserve">Transportation </w:t>
      </w:r>
    </w:p>
    <w:tbl>
      <w:tblPr>
        <w:tblStyle w:val="TableGrid"/>
        <w:tblW w:w="10710" w:type="dxa"/>
        <w:tblInd w:w="85" w:type="dxa"/>
        <w:tblLook w:val="04A0" w:firstRow="1" w:lastRow="0" w:firstColumn="1" w:lastColumn="0" w:noHBand="0" w:noVBand="1"/>
      </w:tblPr>
      <w:tblGrid>
        <w:gridCol w:w="10710"/>
      </w:tblGrid>
      <w:tr w:rsidR="00D56236" w:rsidRPr="00C660BE" w14:paraId="24B2BFBB" w14:textId="3F22C159" w:rsidTr="00D56236">
        <w:tc>
          <w:tcPr>
            <w:tcW w:w="10710" w:type="dxa"/>
            <w:shd w:val="clear" w:color="auto" w:fill="D9E2F3" w:themeFill="accent1" w:themeFillTint="33"/>
          </w:tcPr>
          <w:p w14:paraId="04A61D6B" w14:textId="4E9DF473" w:rsidR="00D56236" w:rsidRPr="007B4BF4" w:rsidRDefault="00D56236" w:rsidP="00D56236">
            <w:pPr>
              <w:tabs>
                <w:tab w:val="left" w:pos="1248"/>
              </w:tabs>
              <w:spacing w:before="80" w:after="80"/>
              <w:rPr>
                <w:rFonts w:ascii="Century Gothic" w:hAnsi="Century Gothic"/>
                <w:b/>
                <w:bCs/>
              </w:rPr>
            </w:pPr>
            <w:r w:rsidRPr="00605073">
              <w:rPr>
                <w:rFonts w:ascii="Century Gothic" w:hAnsi="Century Gothic"/>
                <w:b/>
                <w:bCs/>
                <w:sz w:val="20"/>
                <w:szCs w:val="20"/>
              </w:rPr>
              <w:t>Guidance on Next Steps for Provider to Take</w:t>
            </w:r>
          </w:p>
        </w:tc>
      </w:tr>
      <w:tr w:rsidR="00D56236" w14:paraId="6727D019" w14:textId="0D7265B5" w:rsidTr="00D56236">
        <w:tc>
          <w:tcPr>
            <w:tcW w:w="10710" w:type="dxa"/>
          </w:tcPr>
          <w:p w14:paraId="523B5479" w14:textId="49AB48D1" w:rsidR="00D56236" w:rsidRPr="00582E8E" w:rsidRDefault="00D56236" w:rsidP="00D56236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24"/>
                <w:szCs w:val="24"/>
              </w:rPr>
            </w:pPr>
            <w:r w:rsidRPr="00582E8E">
              <w:rPr>
                <w:rFonts w:ascii="Century Gothic" w:hAnsi="Century Gothic"/>
                <w:sz w:val="24"/>
                <w:szCs w:val="24"/>
              </w:rPr>
              <w:t xml:space="preserve">Providers must check </w:t>
            </w:r>
            <w:r w:rsidR="00A30074" w:rsidRPr="00582E8E">
              <w:rPr>
                <w:rFonts w:ascii="Century Gothic" w:hAnsi="Century Gothic"/>
                <w:sz w:val="24"/>
                <w:szCs w:val="24"/>
              </w:rPr>
              <w:t xml:space="preserve">the </w:t>
            </w:r>
            <w:r w:rsidRPr="00582E8E">
              <w:rPr>
                <w:rFonts w:ascii="Century Gothic" w:hAnsi="Century Gothic"/>
                <w:sz w:val="24"/>
                <w:szCs w:val="24"/>
              </w:rPr>
              <w:t xml:space="preserve">member specific Evidence of Coverage (EOC) </w:t>
            </w:r>
            <w:r w:rsidR="009525A8" w:rsidRPr="00582E8E">
              <w:rPr>
                <w:rFonts w:ascii="Century Gothic" w:hAnsi="Century Gothic"/>
                <w:sz w:val="24"/>
                <w:szCs w:val="24"/>
              </w:rPr>
              <w:t xml:space="preserve">and Benefit Grid </w:t>
            </w:r>
            <w:r w:rsidRPr="00582E8E">
              <w:rPr>
                <w:rFonts w:ascii="Century Gothic" w:hAnsi="Century Gothic"/>
                <w:sz w:val="24"/>
                <w:szCs w:val="24"/>
              </w:rPr>
              <w:t xml:space="preserve">for </w:t>
            </w:r>
            <w:r w:rsidR="00600C8D" w:rsidRPr="00582E8E">
              <w:rPr>
                <w:rFonts w:ascii="Century Gothic" w:hAnsi="Century Gothic"/>
                <w:sz w:val="24"/>
                <w:szCs w:val="24"/>
              </w:rPr>
              <w:t xml:space="preserve">transportation </w:t>
            </w:r>
            <w:r w:rsidRPr="00582E8E">
              <w:rPr>
                <w:rFonts w:ascii="Century Gothic" w:hAnsi="Century Gothic"/>
                <w:sz w:val="24"/>
                <w:szCs w:val="24"/>
              </w:rPr>
              <w:t>coverage.</w:t>
            </w:r>
          </w:p>
          <w:p w14:paraId="1758F185" w14:textId="77777777" w:rsidR="00D56236" w:rsidRPr="00582E8E" w:rsidRDefault="00D56236" w:rsidP="00D56236">
            <w:pPr>
              <w:ind w:left="720"/>
              <w:rPr>
                <w:rFonts w:ascii="Century Gothic" w:hAnsi="Century Gothic"/>
                <w:sz w:val="24"/>
                <w:szCs w:val="24"/>
              </w:rPr>
            </w:pPr>
          </w:p>
          <w:p w14:paraId="369E4EB4" w14:textId="1F2ADA33" w:rsidR="00D56236" w:rsidRPr="00582E8E" w:rsidRDefault="00E350CE" w:rsidP="000C4D27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24"/>
                <w:szCs w:val="24"/>
              </w:rPr>
            </w:pPr>
            <w:r w:rsidRPr="00582E8E">
              <w:rPr>
                <w:rFonts w:ascii="Century Gothic" w:hAnsi="Century Gothic"/>
                <w:sz w:val="24"/>
                <w:szCs w:val="24"/>
              </w:rPr>
              <w:t xml:space="preserve">SCAN is responsible for </w:t>
            </w:r>
            <w:r w:rsidRPr="00582E8E">
              <w:rPr>
                <w:rFonts w:ascii="Century Gothic" w:hAnsi="Century Gothic"/>
                <w:sz w:val="24"/>
                <w:szCs w:val="24"/>
                <w:u w:val="single"/>
              </w:rPr>
              <w:t>routine transportation</w:t>
            </w:r>
            <w:r w:rsidRPr="00582E8E">
              <w:rPr>
                <w:rFonts w:ascii="Century Gothic" w:hAnsi="Century Gothic"/>
                <w:sz w:val="24"/>
                <w:szCs w:val="24"/>
              </w:rPr>
              <w:t xml:space="preserve"> benefits through SafeRide. Gurney level transportation </w:t>
            </w:r>
            <w:r w:rsidRPr="00582E8E">
              <w:rPr>
                <w:rFonts w:ascii="Century Gothic" w:hAnsi="Century Gothic"/>
                <w:b/>
                <w:bCs/>
                <w:sz w:val="24"/>
                <w:szCs w:val="24"/>
              </w:rPr>
              <w:t>may not be covered</w:t>
            </w:r>
            <w:r w:rsidRPr="00582E8E">
              <w:rPr>
                <w:rFonts w:ascii="Century Gothic" w:hAnsi="Century Gothic"/>
                <w:sz w:val="24"/>
                <w:szCs w:val="24"/>
              </w:rPr>
              <w:t xml:space="preserve"> under certain SCAN plans. </w:t>
            </w:r>
            <w:r w:rsidR="00D56236" w:rsidRPr="00582E8E">
              <w:rPr>
                <w:rFonts w:ascii="Century Gothic" w:hAnsi="Century Gothic"/>
                <w:sz w:val="24"/>
                <w:szCs w:val="24"/>
              </w:rPr>
              <w:t xml:space="preserve">If member’s benefits (e.g., Classic Riverside) do not reflect gurney </w:t>
            </w:r>
            <w:r w:rsidR="00600C8D" w:rsidRPr="00582E8E">
              <w:rPr>
                <w:rFonts w:ascii="Century Gothic" w:hAnsi="Century Gothic"/>
                <w:sz w:val="24"/>
                <w:szCs w:val="24"/>
              </w:rPr>
              <w:t>level transportation</w:t>
            </w:r>
            <w:r w:rsidR="00D56236" w:rsidRPr="00582E8E">
              <w:rPr>
                <w:rFonts w:ascii="Century Gothic" w:hAnsi="Century Gothic"/>
                <w:sz w:val="24"/>
                <w:szCs w:val="24"/>
              </w:rPr>
              <w:t xml:space="preserve"> embedded in their routine transportation benefit</w:t>
            </w:r>
            <w:r w:rsidR="000C4D27" w:rsidRPr="00582E8E">
              <w:rPr>
                <w:rFonts w:ascii="Century Gothic" w:hAnsi="Century Gothic"/>
                <w:sz w:val="24"/>
                <w:szCs w:val="24"/>
              </w:rPr>
              <w:t>, please note the following:</w:t>
            </w:r>
            <w:r w:rsidR="00D56236" w:rsidRPr="00582E8E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723E2BB3" w14:textId="77777777" w:rsidR="00D56236" w:rsidRPr="00582E8E" w:rsidRDefault="00D56236" w:rsidP="00D56236">
            <w:pPr>
              <w:pStyle w:val="ListParagraph"/>
              <w:rPr>
                <w:rFonts w:ascii="Century Gothic" w:hAnsi="Century Gothic"/>
                <w:sz w:val="24"/>
                <w:szCs w:val="24"/>
              </w:rPr>
            </w:pPr>
          </w:p>
          <w:p w14:paraId="1158FB81" w14:textId="3F9DF68E" w:rsidR="00D56236" w:rsidRPr="00582E8E" w:rsidRDefault="00A30074" w:rsidP="00D56236">
            <w:pPr>
              <w:pStyle w:val="ListParagraph"/>
              <w:numPr>
                <w:ilvl w:val="1"/>
                <w:numId w:val="25"/>
              </w:numPr>
              <w:rPr>
                <w:rFonts w:ascii="Century Gothic" w:hAnsi="Century Gothic"/>
                <w:sz w:val="24"/>
                <w:szCs w:val="24"/>
              </w:rPr>
            </w:pPr>
            <w:r w:rsidRPr="00582E8E">
              <w:rPr>
                <w:rFonts w:ascii="Century Gothic" w:hAnsi="Century Gothic"/>
                <w:sz w:val="24"/>
                <w:szCs w:val="24"/>
              </w:rPr>
              <w:t>Gurney level transportation is</w:t>
            </w:r>
            <w:r w:rsidR="00D56236" w:rsidRPr="00582E8E">
              <w:rPr>
                <w:rFonts w:ascii="Century Gothic" w:hAnsi="Century Gothic"/>
                <w:sz w:val="24"/>
                <w:szCs w:val="24"/>
              </w:rPr>
              <w:t xml:space="preserve"> not considered routine transportation; therefore, </w:t>
            </w:r>
            <w:r w:rsidR="009525A8" w:rsidRPr="00582E8E">
              <w:rPr>
                <w:rFonts w:ascii="Century Gothic" w:hAnsi="Century Gothic"/>
                <w:sz w:val="24"/>
                <w:szCs w:val="24"/>
              </w:rPr>
              <w:t xml:space="preserve">these services </w:t>
            </w:r>
            <w:r w:rsidR="00D56236" w:rsidRPr="00582E8E">
              <w:rPr>
                <w:rFonts w:ascii="Century Gothic" w:hAnsi="Century Gothic"/>
                <w:sz w:val="24"/>
                <w:szCs w:val="24"/>
              </w:rPr>
              <w:t xml:space="preserve">are not carved out to SCAN. </w:t>
            </w:r>
          </w:p>
          <w:p w14:paraId="605A5ED6" w14:textId="1D951B43" w:rsidR="00D56236" w:rsidRPr="00582E8E" w:rsidRDefault="00D56236" w:rsidP="00D56236">
            <w:pPr>
              <w:pStyle w:val="ListParagraph"/>
              <w:numPr>
                <w:ilvl w:val="1"/>
                <w:numId w:val="25"/>
              </w:numPr>
              <w:rPr>
                <w:rFonts w:ascii="Century Gothic" w:hAnsi="Century Gothic"/>
                <w:sz w:val="24"/>
                <w:szCs w:val="24"/>
              </w:rPr>
            </w:pPr>
            <w:r w:rsidRPr="00582E8E">
              <w:rPr>
                <w:rFonts w:ascii="Century Gothic" w:hAnsi="Century Gothic"/>
                <w:sz w:val="24"/>
                <w:szCs w:val="24"/>
              </w:rPr>
              <w:t xml:space="preserve">The member’s EOC states under </w:t>
            </w:r>
            <w:r w:rsidRPr="00582E8E">
              <w:rPr>
                <w:rFonts w:ascii="Century Gothic" w:hAnsi="Century Gothic"/>
                <w:sz w:val="24"/>
                <w:szCs w:val="24"/>
                <w:u w:val="single"/>
              </w:rPr>
              <w:t>Chapter 4 Medical Benefits Chart</w:t>
            </w:r>
            <w:r w:rsidRPr="00582E8E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r w:rsidRPr="00582E8E">
              <w:rPr>
                <w:rFonts w:ascii="Century Gothic" w:hAnsi="Century Gothic"/>
                <w:b/>
                <w:bCs/>
                <w:sz w:val="24"/>
                <w:szCs w:val="24"/>
              </w:rPr>
              <w:t>Ambulance section</w:t>
            </w:r>
            <w:r w:rsidRPr="00582E8E">
              <w:rPr>
                <w:rFonts w:ascii="Century Gothic" w:hAnsi="Century Gothic"/>
                <w:sz w:val="24"/>
                <w:szCs w:val="24"/>
              </w:rPr>
              <w:t xml:space="preserve"> “</w:t>
            </w:r>
            <w:r w:rsidR="00A30074" w:rsidRPr="00582E8E">
              <w:rPr>
                <w:rFonts w:ascii="Century Gothic" w:hAnsi="Century Gothic"/>
                <w:sz w:val="24"/>
                <w:szCs w:val="24"/>
              </w:rPr>
              <w:t>non-emergency</w:t>
            </w:r>
            <w:r w:rsidRPr="00582E8E">
              <w:rPr>
                <w:rFonts w:ascii="Century Gothic" w:hAnsi="Century Gothic"/>
                <w:sz w:val="24"/>
                <w:szCs w:val="24"/>
              </w:rPr>
              <w:t xml:space="preserve"> transportation by ambulance is appropriate if it is documented that the member’s condition is such that other means of transportation </w:t>
            </w:r>
            <w:r w:rsidRPr="00582E8E">
              <w:rPr>
                <w:rFonts w:ascii="Century Gothic" w:hAnsi="Century Gothic"/>
                <w:sz w:val="24"/>
                <w:szCs w:val="24"/>
                <w:u w:val="single"/>
              </w:rPr>
              <w:t>could endanger the person’s health and that transportation by ambulance is medically required</w:t>
            </w:r>
            <w:r w:rsidRPr="00582E8E">
              <w:rPr>
                <w:rFonts w:ascii="Century Gothic" w:hAnsi="Century Gothic"/>
                <w:sz w:val="24"/>
                <w:szCs w:val="24"/>
              </w:rPr>
              <w:t>”.</w:t>
            </w:r>
          </w:p>
          <w:p w14:paraId="05F5322E" w14:textId="77777777" w:rsidR="00D56236" w:rsidRPr="00582E8E" w:rsidRDefault="00D56236" w:rsidP="00D56236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A92BA8C" w14:textId="77777777" w:rsidR="00D56236" w:rsidRPr="00582E8E" w:rsidRDefault="00D56236" w:rsidP="00D56236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24"/>
                <w:szCs w:val="24"/>
              </w:rPr>
            </w:pPr>
            <w:r w:rsidRPr="00582E8E">
              <w:rPr>
                <w:rFonts w:ascii="Century Gothic" w:hAnsi="Century Gothic"/>
                <w:sz w:val="24"/>
                <w:szCs w:val="24"/>
              </w:rPr>
              <w:t xml:space="preserve">Medicare covers non-emergency transportation only when the member’s condition is such that other means of transportation would be contraindicated or would endanger the member’s health. No reimbursement should be made if a different means of transportation, other than an ambulance, could be used without endangering the individual’s health, </w:t>
            </w:r>
            <w:proofErr w:type="gramStart"/>
            <w:r w:rsidRPr="00582E8E">
              <w:rPr>
                <w:rFonts w:ascii="Century Gothic" w:hAnsi="Century Gothic"/>
                <w:sz w:val="24"/>
                <w:szCs w:val="24"/>
              </w:rPr>
              <w:t>whether or not</w:t>
            </w:r>
            <w:proofErr w:type="gramEnd"/>
            <w:r w:rsidRPr="00582E8E">
              <w:rPr>
                <w:rFonts w:ascii="Century Gothic" w:hAnsi="Century Gothic"/>
                <w:sz w:val="24"/>
                <w:szCs w:val="24"/>
              </w:rPr>
              <w:t xml:space="preserve"> such other transportation is actually available.  </w:t>
            </w:r>
          </w:p>
          <w:p w14:paraId="5A0B4A4D" w14:textId="77777777" w:rsidR="00D56236" w:rsidRPr="00582E8E" w:rsidRDefault="00D56236" w:rsidP="00D56236">
            <w:pPr>
              <w:ind w:left="720"/>
              <w:rPr>
                <w:rFonts w:ascii="Century Gothic" w:hAnsi="Century Gothic"/>
                <w:sz w:val="24"/>
                <w:szCs w:val="24"/>
              </w:rPr>
            </w:pPr>
          </w:p>
          <w:p w14:paraId="72BE06FF" w14:textId="77777777" w:rsidR="00A30074" w:rsidRPr="00582E8E" w:rsidRDefault="00D56236" w:rsidP="00D56236">
            <w:pPr>
              <w:ind w:left="1080"/>
              <w:rPr>
                <w:rFonts w:ascii="Century Gothic" w:hAnsi="Century Gothic"/>
                <w:sz w:val="24"/>
                <w:szCs w:val="24"/>
              </w:rPr>
            </w:pPr>
            <w:r w:rsidRPr="00582E8E">
              <w:rPr>
                <w:rFonts w:ascii="Century Gothic" w:hAnsi="Century Gothic"/>
                <w:sz w:val="24"/>
                <w:szCs w:val="24"/>
              </w:rPr>
              <w:t xml:space="preserve">Therefore, the </w:t>
            </w:r>
            <w:r w:rsidR="00A30074" w:rsidRPr="00582E8E">
              <w:rPr>
                <w:rFonts w:ascii="Century Gothic" w:hAnsi="Century Gothic"/>
                <w:sz w:val="24"/>
                <w:szCs w:val="24"/>
              </w:rPr>
              <w:t>delegated Medical Group (MG</w:t>
            </w:r>
            <w:r w:rsidR="00A30074" w:rsidRPr="00582E8E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)</w:t>
            </w:r>
            <w:r w:rsidRPr="00582E8E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 xml:space="preserve"> must make this assessment</w:t>
            </w:r>
            <w:r w:rsidRPr="00582E8E">
              <w:rPr>
                <w:rFonts w:ascii="Century Gothic" w:hAnsi="Century Gothic"/>
                <w:sz w:val="24"/>
                <w:szCs w:val="24"/>
              </w:rPr>
              <w:t xml:space="preserve"> to determine if the member’s condition meets the above qualifications.  </w:t>
            </w:r>
          </w:p>
          <w:p w14:paraId="35639473" w14:textId="77777777" w:rsidR="00A30074" w:rsidRPr="00582E8E" w:rsidRDefault="00D56236" w:rsidP="00A30074">
            <w:pPr>
              <w:pStyle w:val="ListParagraph"/>
              <w:numPr>
                <w:ilvl w:val="1"/>
                <w:numId w:val="25"/>
              </w:numPr>
              <w:rPr>
                <w:rFonts w:ascii="Century Gothic" w:hAnsi="Century Gothic"/>
                <w:sz w:val="24"/>
                <w:szCs w:val="24"/>
              </w:rPr>
            </w:pPr>
            <w:r w:rsidRPr="00582E8E">
              <w:rPr>
                <w:rFonts w:ascii="Century Gothic" w:hAnsi="Century Gothic"/>
                <w:sz w:val="24"/>
                <w:szCs w:val="24"/>
              </w:rPr>
              <w:t xml:space="preserve">If member’s condition qualifies then MG will need to provide an authorization to their contracted ambulance </w:t>
            </w:r>
            <w:r w:rsidR="004E3581" w:rsidRPr="00582E8E">
              <w:rPr>
                <w:rFonts w:ascii="Century Gothic" w:hAnsi="Century Gothic"/>
                <w:sz w:val="24"/>
                <w:szCs w:val="24"/>
              </w:rPr>
              <w:t>vendor</w:t>
            </w:r>
          </w:p>
          <w:p w14:paraId="02418876" w14:textId="77777777" w:rsidR="00A30074" w:rsidRPr="00582E8E" w:rsidRDefault="00A30074" w:rsidP="00A30074">
            <w:pPr>
              <w:pStyle w:val="ListParagraph"/>
              <w:numPr>
                <w:ilvl w:val="1"/>
                <w:numId w:val="25"/>
              </w:numPr>
              <w:rPr>
                <w:rFonts w:ascii="Century Gothic" w:hAnsi="Century Gothic"/>
                <w:sz w:val="24"/>
                <w:szCs w:val="24"/>
              </w:rPr>
            </w:pPr>
            <w:r w:rsidRPr="00582E8E">
              <w:rPr>
                <w:rFonts w:ascii="Century Gothic" w:hAnsi="Century Gothic"/>
                <w:sz w:val="24"/>
                <w:szCs w:val="24"/>
              </w:rPr>
              <w:t>MG</w:t>
            </w:r>
            <w:r w:rsidR="00D56236" w:rsidRPr="00582E8E">
              <w:rPr>
                <w:rFonts w:ascii="Century Gothic" w:hAnsi="Century Gothic"/>
                <w:sz w:val="24"/>
                <w:szCs w:val="24"/>
              </w:rPr>
              <w:t xml:space="preserve"> would be financially responsible for these charges.  </w:t>
            </w:r>
          </w:p>
          <w:p w14:paraId="7E2E43B6" w14:textId="1F0659E1" w:rsidR="00D56236" w:rsidRPr="00582E8E" w:rsidRDefault="00A30074" w:rsidP="00A30074">
            <w:pPr>
              <w:pStyle w:val="ListParagraph"/>
              <w:numPr>
                <w:ilvl w:val="1"/>
                <w:numId w:val="25"/>
              </w:numPr>
              <w:rPr>
                <w:rFonts w:ascii="Century Gothic" w:hAnsi="Century Gothic"/>
                <w:sz w:val="24"/>
                <w:szCs w:val="24"/>
              </w:rPr>
            </w:pPr>
            <w:r w:rsidRPr="00582E8E">
              <w:rPr>
                <w:rFonts w:ascii="Century Gothic" w:hAnsi="Century Gothic"/>
                <w:sz w:val="24"/>
                <w:szCs w:val="24"/>
              </w:rPr>
              <w:t>M</w:t>
            </w:r>
            <w:r w:rsidR="00D56236" w:rsidRPr="00582E8E">
              <w:rPr>
                <w:rFonts w:ascii="Century Gothic" w:hAnsi="Century Gothic"/>
                <w:sz w:val="24"/>
                <w:szCs w:val="24"/>
              </w:rPr>
              <w:t>ember could potentially have a</w:t>
            </w:r>
            <w:r w:rsidR="00E350CE" w:rsidRPr="00582E8E">
              <w:rPr>
                <w:rFonts w:ascii="Century Gothic" w:hAnsi="Century Gothic"/>
                <w:sz w:val="24"/>
                <w:szCs w:val="24"/>
              </w:rPr>
              <w:t>n ambulance</w:t>
            </w:r>
            <w:r w:rsidR="00D56236" w:rsidRPr="00582E8E">
              <w:rPr>
                <w:rFonts w:ascii="Century Gothic" w:hAnsi="Century Gothic"/>
                <w:sz w:val="24"/>
                <w:szCs w:val="24"/>
              </w:rPr>
              <w:t xml:space="preserve"> copay for each way</w:t>
            </w:r>
            <w:r w:rsidRPr="00582E8E">
              <w:rPr>
                <w:rFonts w:ascii="Century Gothic" w:hAnsi="Century Gothic"/>
                <w:sz w:val="24"/>
                <w:szCs w:val="24"/>
              </w:rPr>
              <w:t xml:space="preserve"> (refer to member specific EOC)</w:t>
            </w:r>
            <w:r w:rsidR="00D56236" w:rsidRPr="00582E8E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4FE891DB" w14:textId="77777777" w:rsidR="00D56236" w:rsidRPr="00582E8E" w:rsidRDefault="00D56236" w:rsidP="00D56236">
            <w:pPr>
              <w:ind w:left="720"/>
              <w:rPr>
                <w:rFonts w:ascii="Century Gothic" w:hAnsi="Century Gothic"/>
                <w:sz w:val="24"/>
                <w:szCs w:val="24"/>
              </w:rPr>
            </w:pPr>
          </w:p>
          <w:p w14:paraId="28305866" w14:textId="78B3831D" w:rsidR="00D56236" w:rsidRPr="00582E8E" w:rsidRDefault="00D56236" w:rsidP="00D56236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24"/>
                <w:szCs w:val="24"/>
              </w:rPr>
            </w:pPr>
            <w:r w:rsidRPr="00582E8E">
              <w:rPr>
                <w:rFonts w:ascii="Century Gothic" w:hAnsi="Century Gothic"/>
                <w:sz w:val="24"/>
                <w:szCs w:val="24"/>
              </w:rPr>
              <w:t xml:space="preserve">MG should also assess if visit could be rendered through their Telehealth instead an in person visit; therefore, gurney level transportation is not needed. </w:t>
            </w:r>
          </w:p>
          <w:p w14:paraId="78723296" w14:textId="59770067" w:rsidR="00D56236" w:rsidRPr="00625DB4" w:rsidRDefault="00D56236" w:rsidP="00D56236">
            <w:pPr>
              <w:pStyle w:val="ListParagraph"/>
              <w:tabs>
                <w:tab w:val="left" w:pos="1248"/>
              </w:tabs>
              <w:spacing w:before="80" w:after="80"/>
              <w:rPr>
                <w:rFonts w:ascii="Century Gothic" w:hAnsi="Century Gothic"/>
              </w:rPr>
            </w:pPr>
          </w:p>
        </w:tc>
      </w:tr>
    </w:tbl>
    <w:p w14:paraId="02CC9E4C" w14:textId="77777777" w:rsidR="00625DB4" w:rsidRPr="00625DB4" w:rsidRDefault="00625DB4" w:rsidP="00625DB4">
      <w:pPr>
        <w:pStyle w:val="TOC1"/>
        <w:rPr>
          <w:color w:val="000000" w:themeColor="text1"/>
          <w:sz w:val="12"/>
          <w:szCs w:val="14"/>
        </w:rPr>
      </w:pPr>
    </w:p>
    <w:p w14:paraId="5504F5AB" w14:textId="0EDDF3E6" w:rsidR="00582E8E" w:rsidRPr="00477E4D" w:rsidRDefault="00582E8E" w:rsidP="00582E8E">
      <w:pPr>
        <w:pStyle w:val="ListParagraph"/>
        <w:numPr>
          <w:ilvl w:val="0"/>
          <w:numId w:val="7"/>
        </w:numPr>
        <w:spacing w:before="240" w:after="120" w:line="240" w:lineRule="auto"/>
        <w:ind w:hanging="540"/>
        <w:jc w:val="both"/>
        <w:rPr>
          <w:rFonts w:ascii="Century Gothic" w:hAnsi="Century Gothic" w:cs="Arial"/>
          <w:b/>
          <w:sz w:val="28"/>
          <w:szCs w:val="28"/>
          <w:highlight w:val="lightGray"/>
        </w:rPr>
      </w:pPr>
      <w:r w:rsidRPr="00477E4D">
        <w:rPr>
          <w:rFonts w:ascii="Century Gothic" w:hAnsi="Century Gothic" w:cs="Arial"/>
          <w:b/>
          <w:sz w:val="28"/>
          <w:szCs w:val="28"/>
          <w:highlight w:val="lightGray"/>
        </w:rPr>
        <w:t xml:space="preserve">Items not Reflected </w:t>
      </w:r>
      <w:r w:rsidR="00007BA9" w:rsidRPr="00477E4D">
        <w:rPr>
          <w:rFonts w:ascii="Century Gothic" w:hAnsi="Century Gothic" w:cs="Arial"/>
          <w:b/>
          <w:sz w:val="28"/>
          <w:szCs w:val="28"/>
          <w:highlight w:val="lightGray"/>
        </w:rPr>
        <w:t>i</w:t>
      </w:r>
      <w:r w:rsidRPr="00477E4D">
        <w:rPr>
          <w:rFonts w:ascii="Century Gothic" w:hAnsi="Century Gothic" w:cs="Arial"/>
          <w:b/>
          <w:sz w:val="28"/>
          <w:szCs w:val="28"/>
          <w:highlight w:val="lightGray"/>
        </w:rPr>
        <w:t>n EOC</w:t>
      </w:r>
      <w:r w:rsidR="00DA7245" w:rsidRPr="00477E4D">
        <w:rPr>
          <w:rFonts w:ascii="Century Gothic" w:hAnsi="Century Gothic" w:cs="Arial"/>
          <w:b/>
          <w:sz w:val="28"/>
          <w:szCs w:val="28"/>
          <w:highlight w:val="lightGray"/>
        </w:rPr>
        <w:t xml:space="preserve"> or Benefit Grid</w:t>
      </w:r>
      <w:r w:rsidRPr="00477E4D">
        <w:rPr>
          <w:rFonts w:ascii="Century Gothic" w:hAnsi="Century Gothic" w:cs="Arial"/>
          <w:b/>
          <w:sz w:val="28"/>
          <w:szCs w:val="28"/>
          <w:highlight w:val="lightGray"/>
        </w:rPr>
        <w:t xml:space="preserve"> </w:t>
      </w:r>
    </w:p>
    <w:tbl>
      <w:tblPr>
        <w:tblStyle w:val="TableGrid"/>
        <w:tblW w:w="10710" w:type="dxa"/>
        <w:tblInd w:w="85" w:type="dxa"/>
        <w:tblLook w:val="04A0" w:firstRow="1" w:lastRow="0" w:firstColumn="1" w:lastColumn="0" w:noHBand="0" w:noVBand="1"/>
      </w:tblPr>
      <w:tblGrid>
        <w:gridCol w:w="10710"/>
      </w:tblGrid>
      <w:tr w:rsidR="00582E8E" w:rsidRPr="00C660BE" w14:paraId="622F0950" w14:textId="77777777" w:rsidTr="000F06FB">
        <w:tc>
          <w:tcPr>
            <w:tcW w:w="10710" w:type="dxa"/>
            <w:shd w:val="clear" w:color="auto" w:fill="D9E2F3" w:themeFill="accent1" w:themeFillTint="33"/>
          </w:tcPr>
          <w:p w14:paraId="3A51762A" w14:textId="77777777" w:rsidR="00582E8E" w:rsidRPr="007B4BF4" w:rsidRDefault="00582E8E" w:rsidP="000F06FB">
            <w:pPr>
              <w:tabs>
                <w:tab w:val="left" w:pos="1248"/>
              </w:tabs>
              <w:spacing w:before="80" w:after="80"/>
              <w:rPr>
                <w:rFonts w:ascii="Century Gothic" w:hAnsi="Century Gothic"/>
                <w:b/>
                <w:bCs/>
              </w:rPr>
            </w:pPr>
            <w:r w:rsidRPr="00605073">
              <w:rPr>
                <w:rFonts w:ascii="Century Gothic" w:hAnsi="Century Gothic"/>
                <w:b/>
                <w:bCs/>
                <w:sz w:val="20"/>
                <w:szCs w:val="20"/>
              </w:rPr>
              <w:t>Guidance on Next Steps for Provider to Take</w:t>
            </w:r>
          </w:p>
        </w:tc>
      </w:tr>
      <w:tr w:rsidR="00582E8E" w14:paraId="45BF41CF" w14:textId="77777777" w:rsidTr="000F06FB">
        <w:tc>
          <w:tcPr>
            <w:tcW w:w="10710" w:type="dxa"/>
          </w:tcPr>
          <w:p w14:paraId="41853D05" w14:textId="1BB8F9E8" w:rsidR="00582E8E" w:rsidRDefault="00582E8E" w:rsidP="00582E8E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/>
                <w:sz w:val="24"/>
                <w:szCs w:val="24"/>
              </w:rPr>
            </w:pPr>
            <w:r w:rsidRPr="00582E8E">
              <w:rPr>
                <w:rFonts w:ascii="Century Gothic" w:hAnsi="Century Gothic"/>
                <w:sz w:val="24"/>
                <w:szCs w:val="24"/>
              </w:rPr>
              <w:t xml:space="preserve">Providers must check the member specific Evidence of Coverage (EOC) and Benefit Grid for </w:t>
            </w:r>
            <w:r>
              <w:rPr>
                <w:rFonts w:ascii="Century Gothic" w:hAnsi="Century Gothic"/>
                <w:sz w:val="24"/>
                <w:szCs w:val="24"/>
              </w:rPr>
              <w:t>specific</w:t>
            </w:r>
            <w:r w:rsidRPr="00582E8E">
              <w:rPr>
                <w:rFonts w:ascii="Century Gothic" w:hAnsi="Century Gothic"/>
                <w:sz w:val="24"/>
                <w:szCs w:val="24"/>
              </w:rPr>
              <w:t xml:space="preserve"> coverage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on services</w:t>
            </w:r>
            <w:r w:rsidRPr="00582E8E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446B4B67" w14:textId="7969E97C" w:rsidR="00DA7245" w:rsidRDefault="00582E8E" w:rsidP="001D3047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If not referenced </w:t>
            </w:r>
            <w:r w:rsidR="00DA7245">
              <w:rPr>
                <w:rFonts w:ascii="Century Gothic" w:hAnsi="Century Gothic"/>
                <w:sz w:val="24"/>
                <w:szCs w:val="24"/>
              </w:rPr>
              <w:t>i</w:t>
            </w:r>
            <w:r>
              <w:rPr>
                <w:rFonts w:ascii="Century Gothic" w:hAnsi="Century Gothic"/>
                <w:sz w:val="24"/>
                <w:szCs w:val="24"/>
              </w:rPr>
              <w:t xml:space="preserve">n EOC or Benefit Grid, </w:t>
            </w:r>
            <w:r w:rsidR="001D3047">
              <w:rPr>
                <w:rFonts w:ascii="Century Gothic" w:hAnsi="Century Gothic"/>
                <w:sz w:val="24"/>
                <w:szCs w:val="24"/>
              </w:rPr>
              <w:t>refer to</w:t>
            </w:r>
            <w:r w:rsidR="00F1041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A7245">
              <w:rPr>
                <w:rFonts w:ascii="Century Gothic" w:hAnsi="Century Gothic"/>
                <w:sz w:val="24"/>
                <w:szCs w:val="24"/>
              </w:rPr>
              <w:t xml:space="preserve">SCAN </w:t>
            </w:r>
            <w:r w:rsidR="00F10411">
              <w:rPr>
                <w:rFonts w:ascii="Century Gothic" w:hAnsi="Century Gothic"/>
                <w:sz w:val="24"/>
                <w:szCs w:val="24"/>
              </w:rPr>
              <w:t>Provider Operations Manual</w:t>
            </w:r>
            <w:r w:rsidR="001D304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A7245">
              <w:rPr>
                <w:rFonts w:ascii="Century Gothic" w:hAnsi="Century Gothic"/>
                <w:sz w:val="24"/>
                <w:szCs w:val="24"/>
              </w:rPr>
              <w:t>(POM)</w:t>
            </w:r>
            <w:r w:rsidR="001D3047">
              <w:rPr>
                <w:rFonts w:ascii="Century Gothic" w:hAnsi="Century Gothic"/>
                <w:sz w:val="24"/>
                <w:szCs w:val="24"/>
              </w:rPr>
              <w:t xml:space="preserve">under </w:t>
            </w:r>
            <w:r w:rsidR="00007BA9">
              <w:rPr>
                <w:rFonts w:ascii="Century Gothic" w:hAnsi="Century Gothic"/>
                <w:sz w:val="24"/>
                <w:szCs w:val="24"/>
              </w:rPr>
              <w:t xml:space="preserve">Chapter 6: Utilization Management in </w:t>
            </w:r>
            <w:r w:rsidR="001D3047" w:rsidRPr="001D3047">
              <w:rPr>
                <w:rFonts w:ascii="Century Gothic" w:hAnsi="Century Gothic"/>
                <w:i/>
                <w:iCs/>
                <w:sz w:val="24"/>
                <w:szCs w:val="24"/>
              </w:rPr>
              <w:t>Prior Authorization</w:t>
            </w:r>
            <w:r w:rsidR="001D3047">
              <w:rPr>
                <w:rFonts w:ascii="Century Gothic" w:hAnsi="Century Gothic"/>
                <w:sz w:val="24"/>
                <w:szCs w:val="24"/>
              </w:rPr>
              <w:t xml:space="preserve"> section. </w:t>
            </w:r>
            <w:r w:rsidR="00DA7245">
              <w:rPr>
                <w:rFonts w:ascii="Century Gothic" w:hAnsi="Century Gothic"/>
                <w:sz w:val="24"/>
                <w:szCs w:val="24"/>
              </w:rPr>
              <w:t xml:space="preserve">The standard for determining coverage would be to use the hierarchy noted below that is outlined in </w:t>
            </w:r>
            <w:r w:rsidR="00007BA9">
              <w:rPr>
                <w:rFonts w:ascii="Century Gothic" w:hAnsi="Century Gothic"/>
                <w:sz w:val="24"/>
                <w:szCs w:val="24"/>
              </w:rPr>
              <w:t xml:space="preserve">this section of the </w:t>
            </w:r>
            <w:r w:rsidR="00DA7245">
              <w:rPr>
                <w:rFonts w:ascii="Century Gothic" w:hAnsi="Century Gothic"/>
                <w:sz w:val="24"/>
                <w:szCs w:val="24"/>
              </w:rPr>
              <w:t>SCAN P</w:t>
            </w:r>
            <w:r w:rsidR="00007BA9">
              <w:rPr>
                <w:rFonts w:ascii="Century Gothic" w:hAnsi="Century Gothic"/>
                <w:sz w:val="24"/>
                <w:szCs w:val="24"/>
              </w:rPr>
              <w:t>OM.</w:t>
            </w:r>
            <w:r w:rsidR="00F1041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2CEF6D01" w14:textId="20181741" w:rsidR="001D3047" w:rsidRPr="00477E4D" w:rsidRDefault="00582E8E" w:rsidP="00DA7245">
            <w:pPr>
              <w:pStyle w:val="ListParagraph"/>
              <w:numPr>
                <w:ilvl w:val="1"/>
                <w:numId w:val="28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SCAN typically delegates the responsibility for prior authorizations to its delegated entities, depending on the Provider’s contract with SCAN.  An exception is Medi-Cal only benefits, where SCAN </w:t>
            </w:r>
            <w:r w:rsidRPr="00477E4D">
              <w:rPr>
                <w:rFonts w:ascii="Century Gothic" w:hAnsi="Century Gothic"/>
                <w:sz w:val="24"/>
                <w:szCs w:val="24"/>
              </w:rPr>
              <w:t xml:space="preserve">may require </w:t>
            </w:r>
            <w:r w:rsidR="00963BE7" w:rsidRPr="00477E4D">
              <w:rPr>
                <w:rFonts w:ascii="Century Gothic" w:hAnsi="Century Gothic"/>
                <w:sz w:val="24"/>
                <w:szCs w:val="24"/>
              </w:rPr>
              <w:t xml:space="preserve">prior </w:t>
            </w:r>
            <w:proofErr w:type="gramStart"/>
            <w:r w:rsidR="00963BE7" w:rsidRPr="00477E4D">
              <w:rPr>
                <w:rFonts w:ascii="Century Gothic" w:hAnsi="Century Gothic"/>
                <w:sz w:val="24"/>
                <w:szCs w:val="24"/>
              </w:rPr>
              <w:t>authorization</w:t>
            </w:r>
            <w:proofErr w:type="gramEnd"/>
          </w:p>
          <w:p w14:paraId="20BAB8BD" w14:textId="783596CD" w:rsidR="00582E8E" w:rsidRPr="00477E4D" w:rsidRDefault="001D3047" w:rsidP="00DA7245">
            <w:pPr>
              <w:pStyle w:val="ListParagraph"/>
              <w:numPr>
                <w:ilvl w:val="1"/>
                <w:numId w:val="28"/>
              </w:numPr>
              <w:rPr>
                <w:rFonts w:ascii="Century Gothic" w:hAnsi="Century Gothic"/>
                <w:sz w:val="24"/>
                <w:szCs w:val="24"/>
              </w:rPr>
            </w:pPr>
            <w:r w:rsidRPr="00477E4D">
              <w:rPr>
                <w:rFonts w:ascii="Century Gothic" w:hAnsi="Century Gothic"/>
                <w:sz w:val="24"/>
                <w:szCs w:val="24"/>
              </w:rPr>
              <w:t>Prior authorization is never required for Emergency Services, including behavioral health services necessary to screen and stabilize Members.</w:t>
            </w:r>
          </w:p>
          <w:p w14:paraId="3AE735B4" w14:textId="046F8FA8" w:rsidR="001D3047" w:rsidRPr="001D3047" w:rsidRDefault="001D3047" w:rsidP="00DA7245">
            <w:pPr>
              <w:pStyle w:val="ListParagraph"/>
              <w:numPr>
                <w:ilvl w:val="1"/>
                <w:numId w:val="28"/>
              </w:numPr>
              <w:rPr>
                <w:rFonts w:ascii="Century Gothic" w:hAnsi="Century Gothic"/>
                <w:sz w:val="24"/>
                <w:szCs w:val="24"/>
              </w:rPr>
            </w:pPr>
            <w:r w:rsidRPr="00477E4D">
              <w:rPr>
                <w:rFonts w:ascii="Century Gothic" w:hAnsi="Century Gothic"/>
                <w:sz w:val="24"/>
                <w:szCs w:val="24"/>
              </w:rPr>
              <w:t>Prior authorization is always required for planned out of area services</w:t>
            </w:r>
            <w:r w:rsidRPr="001D3047">
              <w:rPr>
                <w:rFonts w:ascii="Century Gothic" w:hAnsi="Century Gothic"/>
                <w:sz w:val="24"/>
                <w:szCs w:val="24"/>
              </w:rPr>
              <w:t xml:space="preserve"> that are not Urgent or Emergent.</w:t>
            </w:r>
          </w:p>
          <w:p w14:paraId="347E138A" w14:textId="77777777" w:rsidR="001D3047" w:rsidRPr="001D3047" w:rsidRDefault="001D3047" w:rsidP="00DA7245">
            <w:pPr>
              <w:pStyle w:val="ListParagraph"/>
              <w:numPr>
                <w:ilvl w:val="1"/>
                <w:numId w:val="28"/>
              </w:numPr>
              <w:rPr>
                <w:rFonts w:ascii="Century Gothic" w:hAnsi="Century Gothic"/>
                <w:sz w:val="24"/>
                <w:szCs w:val="24"/>
              </w:rPr>
            </w:pPr>
            <w:r w:rsidRPr="001D3047">
              <w:rPr>
                <w:rFonts w:ascii="Century Gothic" w:hAnsi="Century Gothic"/>
                <w:sz w:val="24"/>
                <w:szCs w:val="24"/>
              </w:rPr>
              <w:t xml:space="preserve">Delegated Entities must follow Medicare Guidelines including, but not limited to: </w:t>
            </w:r>
          </w:p>
          <w:p w14:paraId="4674B73B" w14:textId="77777777" w:rsidR="001D3047" w:rsidRPr="001D3047" w:rsidRDefault="001D3047" w:rsidP="00DA7245">
            <w:pPr>
              <w:pStyle w:val="ListParagraph"/>
              <w:numPr>
                <w:ilvl w:val="2"/>
                <w:numId w:val="28"/>
              </w:numPr>
              <w:rPr>
                <w:rFonts w:ascii="Century Gothic" w:hAnsi="Century Gothic"/>
                <w:sz w:val="24"/>
                <w:szCs w:val="24"/>
              </w:rPr>
            </w:pPr>
            <w:r w:rsidRPr="001D3047">
              <w:rPr>
                <w:rFonts w:ascii="Century Gothic" w:hAnsi="Century Gothic"/>
                <w:sz w:val="24"/>
                <w:szCs w:val="24"/>
              </w:rPr>
              <w:t xml:space="preserve">Medicare National Coverage Determinations (NCD) </w:t>
            </w:r>
          </w:p>
          <w:p w14:paraId="2D8ED375" w14:textId="77777777" w:rsidR="001D3047" w:rsidRPr="001D3047" w:rsidRDefault="001D3047" w:rsidP="00DA7245">
            <w:pPr>
              <w:pStyle w:val="ListParagraph"/>
              <w:numPr>
                <w:ilvl w:val="2"/>
                <w:numId w:val="28"/>
              </w:numPr>
              <w:rPr>
                <w:rFonts w:ascii="Century Gothic" w:hAnsi="Century Gothic"/>
                <w:sz w:val="24"/>
                <w:szCs w:val="24"/>
              </w:rPr>
            </w:pPr>
            <w:r w:rsidRPr="001D3047">
              <w:rPr>
                <w:rFonts w:ascii="Century Gothic" w:hAnsi="Century Gothic"/>
                <w:sz w:val="24"/>
                <w:szCs w:val="24"/>
              </w:rPr>
              <w:t xml:space="preserve">Medicare Local Coverage Decisions (LCD) </w:t>
            </w:r>
          </w:p>
          <w:p w14:paraId="4B33C294" w14:textId="77777777" w:rsidR="001D3047" w:rsidRPr="001D3047" w:rsidRDefault="001D3047" w:rsidP="00DA7245">
            <w:pPr>
              <w:pStyle w:val="ListParagraph"/>
              <w:numPr>
                <w:ilvl w:val="2"/>
                <w:numId w:val="28"/>
              </w:numPr>
              <w:rPr>
                <w:rFonts w:ascii="Century Gothic" w:hAnsi="Century Gothic"/>
                <w:sz w:val="24"/>
                <w:szCs w:val="24"/>
              </w:rPr>
            </w:pPr>
            <w:r w:rsidRPr="001D3047">
              <w:rPr>
                <w:rFonts w:ascii="Century Gothic" w:hAnsi="Century Gothic"/>
                <w:sz w:val="24"/>
                <w:szCs w:val="24"/>
              </w:rPr>
              <w:t xml:space="preserve">Local Coverage Articles (LCAs) (Active/Retired) </w:t>
            </w:r>
          </w:p>
          <w:p w14:paraId="08E99629" w14:textId="77777777" w:rsidR="00D774B9" w:rsidRDefault="001D3047" w:rsidP="00DA7245">
            <w:pPr>
              <w:pStyle w:val="ListParagraph"/>
              <w:numPr>
                <w:ilvl w:val="2"/>
                <w:numId w:val="28"/>
              </w:numPr>
              <w:rPr>
                <w:rFonts w:ascii="Century Gothic" w:hAnsi="Century Gothic"/>
                <w:sz w:val="24"/>
                <w:szCs w:val="24"/>
              </w:rPr>
            </w:pPr>
            <w:r w:rsidRPr="001D3047">
              <w:rPr>
                <w:rFonts w:ascii="Century Gothic" w:hAnsi="Century Gothic"/>
                <w:sz w:val="24"/>
                <w:szCs w:val="24"/>
              </w:rPr>
              <w:t xml:space="preserve">Medicare Manuals </w:t>
            </w:r>
          </w:p>
          <w:p w14:paraId="43A1B4B2" w14:textId="088F9F94" w:rsidR="001D3047" w:rsidRPr="001D3047" w:rsidRDefault="001D3047" w:rsidP="00DA7245">
            <w:pPr>
              <w:pStyle w:val="ListParagraph"/>
              <w:numPr>
                <w:ilvl w:val="3"/>
                <w:numId w:val="28"/>
              </w:numPr>
              <w:rPr>
                <w:rFonts w:ascii="Century Gothic" w:hAnsi="Century Gothic"/>
                <w:sz w:val="24"/>
                <w:szCs w:val="24"/>
              </w:rPr>
            </w:pPr>
            <w:r w:rsidRPr="001D3047">
              <w:rPr>
                <w:rFonts w:ascii="Century Gothic" w:hAnsi="Century Gothic"/>
                <w:sz w:val="24"/>
                <w:szCs w:val="24"/>
              </w:rPr>
              <w:t xml:space="preserve">Medicare Managed Care Manual </w:t>
            </w:r>
          </w:p>
          <w:p w14:paraId="5CD87696" w14:textId="77777777" w:rsidR="00D774B9" w:rsidRDefault="001D3047" w:rsidP="00DA7245">
            <w:pPr>
              <w:pStyle w:val="ListParagraph"/>
              <w:numPr>
                <w:ilvl w:val="3"/>
                <w:numId w:val="28"/>
              </w:numPr>
              <w:rPr>
                <w:rFonts w:ascii="Century Gothic" w:hAnsi="Century Gothic"/>
                <w:sz w:val="24"/>
                <w:szCs w:val="24"/>
              </w:rPr>
            </w:pPr>
            <w:r w:rsidRPr="001D3047">
              <w:rPr>
                <w:rFonts w:ascii="Century Gothic" w:hAnsi="Century Gothic"/>
                <w:sz w:val="24"/>
                <w:szCs w:val="24"/>
              </w:rPr>
              <w:t xml:space="preserve">Medicare Benefit Policy Manual </w:t>
            </w:r>
          </w:p>
          <w:p w14:paraId="2123F2E3" w14:textId="5CB31278" w:rsidR="001D3047" w:rsidRPr="001D3047" w:rsidRDefault="001D3047" w:rsidP="00DA7245">
            <w:pPr>
              <w:pStyle w:val="ListParagraph"/>
              <w:numPr>
                <w:ilvl w:val="3"/>
                <w:numId w:val="28"/>
              </w:numPr>
              <w:rPr>
                <w:rFonts w:ascii="Century Gothic" w:hAnsi="Century Gothic"/>
                <w:sz w:val="24"/>
                <w:szCs w:val="24"/>
              </w:rPr>
            </w:pPr>
            <w:r w:rsidRPr="001D3047">
              <w:rPr>
                <w:rFonts w:ascii="Century Gothic" w:hAnsi="Century Gothic"/>
                <w:sz w:val="24"/>
                <w:szCs w:val="24"/>
              </w:rPr>
              <w:t xml:space="preserve">Program Integrity Manual </w:t>
            </w:r>
          </w:p>
          <w:p w14:paraId="7F2669BE" w14:textId="77777777" w:rsidR="00D774B9" w:rsidRDefault="001D3047" w:rsidP="00DA7245">
            <w:pPr>
              <w:pStyle w:val="ListParagraph"/>
              <w:numPr>
                <w:ilvl w:val="3"/>
                <w:numId w:val="28"/>
              </w:numPr>
              <w:rPr>
                <w:rFonts w:ascii="Century Gothic" w:hAnsi="Century Gothic"/>
                <w:sz w:val="24"/>
                <w:szCs w:val="24"/>
              </w:rPr>
            </w:pPr>
            <w:r w:rsidRPr="001D3047">
              <w:rPr>
                <w:rFonts w:ascii="Century Gothic" w:hAnsi="Century Gothic"/>
                <w:sz w:val="24"/>
                <w:szCs w:val="24"/>
              </w:rPr>
              <w:t>Medicare Claims Processing Manual</w:t>
            </w:r>
          </w:p>
          <w:p w14:paraId="6AEDDFAC" w14:textId="77777777" w:rsidR="009D0010" w:rsidRDefault="00D774B9" w:rsidP="00DA7245">
            <w:pPr>
              <w:pStyle w:val="ListParagraph"/>
              <w:numPr>
                <w:ilvl w:val="1"/>
                <w:numId w:val="28"/>
              </w:numPr>
              <w:rPr>
                <w:rFonts w:ascii="Century Gothic" w:hAnsi="Century Gothic"/>
                <w:sz w:val="24"/>
                <w:szCs w:val="24"/>
              </w:rPr>
            </w:pPr>
            <w:r w:rsidRPr="00D774B9">
              <w:rPr>
                <w:rFonts w:ascii="Century Gothic" w:hAnsi="Century Gothic"/>
                <w:sz w:val="24"/>
                <w:szCs w:val="24"/>
              </w:rPr>
              <w:t xml:space="preserve">In the absence of Medicare guidelines: </w:t>
            </w:r>
          </w:p>
          <w:p w14:paraId="7FD2327A" w14:textId="77777777" w:rsidR="00582E8E" w:rsidRDefault="00D774B9" w:rsidP="009D0010">
            <w:pPr>
              <w:pStyle w:val="ListParagraph"/>
              <w:numPr>
                <w:ilvl w:val="2"/>
                <w:numId w:val="28"/>
              </w:numPr>
              <w:rPr>
                <w:rFonts w:ascii="Century Gothic" w:hAnsi="Century Gothic"/>
                <w:sz w:val="24"/>
                <w:szCs w:val="24"/>
              </w:rPr>
            </w:pPr>
            <w:r w:rsidRPr="00D774B9">
              <w:rPr>
                <w:rFonts w:ascii="Century Gothic" w:hAnsi="Century Gothic"/>
                <w:sz w:val="24"/>
                <w:szCs w:val="24"/>
              </w:rPr>
              <w:t>Nationally recognized evidenced based clinical practice guidelines (e.g., Hypertension – JNC 8; Diabetes – ADA; Standards of Care; CHF - ACCF/AHA Guideline; COPD – Gold Pocket Guide; Hepatitis C: AASLD/IDSA guidelines, Dementia – AGS guideline, 2016 CDC Guideline for Prescribing Opioids for Chronic Pain, etc.) National Comprehensive Cancer Network (NCCN).</w:t>
            </w:r>
          </w:p>
          <w:p w14:paraId="4BEAF201" w14:textId="2E9C450C" w:rsidR="00007BA9" w:rsidRPr="00007BA9" w:rsidRDefault="00007BA9" w:rsidP="00007BA9">
            <w:pPr>
              <w:pStyle w:val="ListParagraph"/>
              <w:numPr>
                <w:ilvl w:val="1"/>
                <w:numId w:val="28"/>
              </w:numPr>
              <w:rPr>
                <w:rFonts w:ascii="Century Gothic" w:hAnsi="Century Gothic"/>
                <w:sz w:val="24"/>
                <w:szCs w:val="24"/>
              </w:rPr>
            </w:pPr>
            <w:r w:rsidRPr="00007BA9">
              <w:rPr>
                <w:rFonts w:ascii="Century Gothic" w:hAnsi="Century Gothic"/>
                <w:sz w:val="24"/>
                <w:szCs w:val="24"/>
              </w:rPr>
              <w:t>SCAN Medical Policy (</w:t>
            </w:r>
            <w:hyperlink r:id="rId10" w:history="1">
              <w:r w:rsidRPr="00007BA9">
                <w:rPr>
                  <w:rFonts w:ascii="Century Gothic" w:hAnsi="Century Gothic"/>
                  <w:sz w:val="24"/>
                  <w:szCs w:val="24"/>
                </w:rPr>
                <w:t>medicalpolicy@scanhealthplan.com</w:t>
              </w:r>
            </w:hyperlink>
            <w:r w:rsidRPr="00007BA9">
              <w:rPr>
                <w:rFonts w:ascii="Century Gothic" w:hAnsi="Century Gothic"/>
                <w:sz w:val="24"/>
                <w:szCs w:val="24"/>
              </w:rPr>
              <w:t>)</w:t>
            </w:r>
          </w:p>
          <w:p w14:paraId="0E364F0E" w14:textId="77777777" w:rsidR="00007BA9" w:rsidRDefault="00007BA9" w:rsidP="00007BA9">
            <w:pPr>
              <w:pStyle w:val="ListParagraph"/>
              <w:numPr>
                <w:ilvl w:val="2"/>
                <w:numId w:val="28"/>
              </w:numPr>
              <w:rPr>
                <w:rFonts w:ascii="Century Gothic" w:hAnsi="Century Gothic"/>
                <w:sz w:val="24"/>
                <w:szCs w:val="24"/>
              </w:rPr>
            </w:pPr>
            <w:r w:rsidRPr="00007BA9">
              <w:rPr>
                <w:rFonts w:ascii="Century Gothic" w:hAnsi="Century Gothic"/>
                <w:sz w:val="24"/>
                <w:szCs w:val="24"/>
              </w:rPr>
              <w:t>Nationally recognized evidence-based criteria (e.g., InterQual® or Milliman Care Guidelines) in conjunction with the clinical judgement of a qualified health professional.</w:t>
            </w:r>
          </w:p>
          <w:p w14:paraId="113BFF56" w14:textId="73E276D3" w:rsidR="00007BA9" w:rsidRPr="00477E4D" w:rsidRDefault="00007BA9" w:rsidP="00007BA9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77E4D">
              <w:rPr>
                <w:rFonts w:ascii="Century Gothic" w:hAnsi="Century Gothic"/>
                <w:b/>
                <w:bCs/>
                <w:sz w:val="24"/>
                <w:szCs w:val="24"/>
              </w:rPr>
              <w:t>Delegated entities may request coverage guidance from SCAN by sending an email to medicalpolicy@scanhealthplan.com</w:t>
            </w:r>
            <w:r w:rsidR="00D6148C" w:rsidRPr="00477E4D">
              <w:rPr>
                <w:rFonts w:ascii="Century Gothic" w:hAnsi="Century Gothic"/>
                <w:b/>
                <w:bCs/>
                <w:sz w:val="24"/>
                <w:szCs w:val="24"/>
              </w:rPr>
              <w:t>.</w:t>
            </w:r>
          </w:p>
        </w:tc>
      </w:tr>
    </w:tbl>
    <w:p w14:paraId="4481E294" w14:textId="0EF09CF9" w:rsidR="00C25BEA" w:rsidRDefault="00C25BEA" w:rsidP="008D150B">
      <w:pPr>
        <w:rPr>
          <w:rFonts w:ascii="Century Gothic" w:hAnsi="Century Gothic" w:cs="Arial"/>
          <w:b/>
          <w:color w:val="000000" w:themeColor="text1"/>
          <w:sz w:val="28"/>
          <w:szCs w:val="28"/>
          <w:highlight w:val="lightGray"/>
        </w:rPr>
      </w:pPr>
    </w:p>
    <w:p w14:paraId="3FC2B780" w14:textId="2C068870" w:rsidR="001713D5" w:rsidRPr="001713D5" w:rsidRDefault="001713D5" w:rsidP="001713D5">
      <w:pPr>
        <w:rPr>
          <w:rFonts w:ascii="Century Gothic" w:hAnsi="Century Gothic" w:cs="Arial"/>
          <w:sz w:val="28"/>
          <w:szCs w:val="28"/>
          <w:highlight w:val="lightGray"/>
        </w:rPr>
      </w:pPr>
    </w:p>
    <w:p w14:paraId="11ACE97C" w14:textId="318607C0" w:rsidR="001713D5" w:rsidRPr="001713D5" w:rsidRDefault="001713D5" w:rsidP="001713D5">
      <w:pPr>
        <w:rPr>
          <w:rFonts w:ascii="Century Gothic" w:hAnsi="Century Gothic" w:cs="Arial"/>
          <w:sz w:val="28"/>
          <w:szCs w:val="28"/>
          <w:highlight w:val="lightGray"/>
        </w:rPr>
      </w:pPr>
    </w:p>
    <w:p w14:paraId="7DE41216" w14:textId="3196BED1" w:rsidR="001713D5" w:rsidRPr="001713D5" w:rsidRDefault="001713D5" w:rsidP="001713D5">
      <w:pPr>
        <w:rPr>
          <w:rFonts w:ascii="Century Gothic" w:hAnsi="Century Gothic" w:cs="Arial"/>
          <w:sz w:val="28"/>
          <w:szCs w:val="28"/>
          <w:highlight w:val="lightGray"/>
        </w:rPr>
      </w:pPr>
    </w:p>
    <w:p w14:paraId="7F233642" w14:textId="04E5761F" w:rsidR="001713D5" w:rsidRPr="001713D5" w:rsidRDefault="001713D5" w:rsidP="001713D5">
      <w:pPr>
        <w:rPr>
          <w:rFonts w:ascii="Century Gothic" w:hAnsi="Century Gothic" w:cs="Arial"/>
          <w:sz w:val="28"/>
          <w:szCs w:val="28"/>
          <w:highlight w:val="lightGray"/>
        </w:rPr>
      </w:pPr>
    </w:p>
    <w:p w14:paraId="79D519C8" w14:textId="690A7871" w:rsidR="001713D5" w:rsidRPr="001713D5" w:rsidRDefault="001713D5" w:rsidP="001713D5">
      <w:pPr>
        <w:tabs>
          <w:tab w:val="left" w:pos="1470"/>
        </w:tabs>
        <w:rPr>
          <w:rFonts w:ascii="Century Gothic" w:hAnsi="Century Gothic" w:cs="Arial"/>
          <w:sz w:val="28"/>
          <w:szCs w:val="28"/>
          <w:highlight w:val="lightGray"/>
        </w:rPr>
      </w:pPr>
    </w:p>
    <w:sectPr w:rsidR="001713D5" w:rsidRPr="001713D5" w:rsidSect="00C97A00">
      <w:headerReference w:type="default" r:id="rId11"/>
      <w:footerReference w:type="default" r:id="rId12"/>
      <w:footerReference w:type="first" r:id="rId13"/>
      <w:pgSz w:w="12240" w:h="15840"/>
      <w:pgMar w:top="576" w:right="720" w:bottom="576" w:left="72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7E0E6" w14:textId="77777777" w:rsidR="00750D12" w:rsidRDefault="00750D12" w:rsidP="00971E71">
      <w:pPr>
        <w:spacing w:after="0" w:line="240" w:lineRule="auto"/>
      </w:pPr>
      <w:r>
        <w:separator/>
      </w:r>
    </w:p>
  </w:endnote>
  <w:endnote w:type="continuationSeparator" w:id="0">
    <w:p w14:paraId="166E829A" w14:textId="77777777" w:rsidR="00750D12" w:rsidRDefault="00750D12" w:rsidP="0097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6248" w14:textId="4FDCDB69" w:rsidR="00971E71" w:rsidRPr="00C97A00" w:rsidRDefault="004E3581" w:rsidP="00C97A00">
    <w:pPr>
      <w:rPr>
        <w:rFonts w:ascii="Century Gothic" w:hAnsi="Century Gothic"/>
        <w:sz w:val="18"/>
        <w:szCs w:val="18"/>
      </w:rPr>
    </w:pPr>
    <w:r w:rsidRPr="00C660BE">
      <w:rPr>
        <w:rFonts w:ascii="Century Gothic" w:hAnsi="Century Gothic"/>
        <w:sz w:val="18"/>
        <w:szCs w:val="18"/>
      </w:rPr>
      <w:t>202</w:t>
    </w:r>
    <w:r>
      <w:rPr>
        <w:rFonts w:ascii="Century Gothic" w:hAnsi="Century Gothic"/>
        <w:sz w:val="18"/>
        <w:szCs w:val="18"/>
      </w:rPr>
      <w:t>3</w:t>
    </w:r>
    <w:r w:rsidRPr="00C660BE">
      <w:rPr>
        <w:rFonts w:ascii="Century Gothic" w:hAnsi="Century Gothic"/>
        <w:sz w:val="18"/>
        <w:szCs w:val="18"/>
      </w:rPr>
      <w:t xml:space="preserve"> </w:t>
    </w:r>
    <w:r>
      <w:rPr>
        <w:rFonts w:ascii="Century Gothic" w:hAnsi="Century Gothic"/>
        <w:sz w:val="18"/>
        <w:szCs w:val="18"/>
      </w:rPr>
      <w:t xml:space="preserve">Carve Out </w:t>
    </w:r>
    <w:r w:rsidR="001713D5">
      <w:rPr>
        <w:rFonts w:ascii="Century Gothic" w:hAnsi="Century Gothic"/>
        <w:sz w:val="18"/>
        <w:szCs w:val="18"/>
      </w:rPr>
      <w:t xml:space="preserve">Benefits </w:t>
    </w:r>
    <w:r>
      <w:rPr>
        <w:rFonts w:ascii="Century Gothic" w:hAnsi="Century Gothic"/>
        <w:sz w:val="18"/>
        <w:szCs w:val="18"/>
      </w:rPr>
      <w:t xml:space="preserve">Talking Points </w:t>
    </w:r>
    <w:r w:rsidRPr="00C660BE">
      <w:rPr>
        <w:rFonts w:ascii="Century Gothic" w:hAnsi="Century Gothic"/>
        <w:sz w:val="18"/>
        <w:szCs w:val="18"/>
      </w:rPr>
      <w:t>V</w:t>
    </w:r>
    <w:r w:rsidR="00D774B9">
      <w:rPr>
        <w:rFonts w:ascii="Century Gothic" w:hAnsi="Century Gothic"/>
        <w:sz w:val="18"/>
        <w:szCs w:val="18"/>
      </w:rPr>
      <w:t>2</w:t>
    </w:r>
    <w:r w:rsidRPr="00C660BE">
      <w:rPr>
        <w:rFonts w:ascii="Century Gothic" w:hAnsi="Century Gothic"/>
        <w:sz w:val="18"/>
        <w:szCs w:val="18"/>
      </w:rPr>
      <w:t>.0_</w:t>
    </w:r>
    <w:r w:rsidR="00D774B9">
      <w:rPr>
        <w:rFonts w:ascii="Century Gothic" w:hAnsi="Century Gothic"/>
        <w:sz w:val="18"/>
        <w:szCs w:val="18"/>
      </w:rPr>
      <w:t>May</w:t>
    </w:r>
    <w:r w:rsidRPr="00C660BE">
      <w:rPr>
        <w:rFonts w:ascii="Century Gothic" w:hAnsi="Century Gothic"/>
        <w:sz w:val="18"/>
        <w:szCs w:val="18"/>
      </w:rPr>
      <w:t xml:space="preserve"> 202</w:t>
    </w:r>
    <w:r>
      <w:rPr>
        <w:rFonts w:ascii="Century Gothic" w:hAnsi="Century Gothic"/>
        <w:sz w:val="18"/>
        <w:szCs w:val="18"/>
      </w:rPr>
      <w:t>3</w:t>
    </w:r>
    <w:r w:rsidR="00971E71" w:rsidRPr="0034009B">
      <w:rPr>
        <w:rFonts w:ascii="Century Gothic" w:hAnsi="Century Gothic"/>
        <w:sz w:val="18"/>
        <w:szCs w:val="18"/>
      </w:rPr>
      <w:tab/>
    </w:r>
    <w:r w:rsidR="00971E71" w:rsidRPr="0034009B">
      <w:rPr>
        <w:rFonts w:ascii="Century Gothic" w:hAnsi="Century Gothic"/>
        <w:sz w:val="18"/>
        <w:szCs w:val="18"/>
      </w:rPr>
      <w:tab/>
    </w:r>
    <w:r w:rsidR="00971E71" w:rsidRPr="0034009B">
      <w:rPr>
        <w:rFonts w:ascii="Century Gothic" w:hAnsi="Century Gothic"/>
        <w:sz w:val="18"/>
        <w:szCs w:val="18"/>
      </w:rPr>
      <w:tab/>
    </w:r>
    <w:r w:rsidR="00971E71" w:rsidRPr="0034009B">
      <w:rPr>
        <w:rFonts w:ascii="Century Gothic" w:hAnsi="Century Gothic"/>
        <w:sz w:val="18"/>
        <w:szCs w:val="18"/>
      </w:rPr>
      <w:tab/>
    </w:r>
    <w:r w:rsidR="00971E71" w:rsidRPr="0034009B">
      <w:rPr>
        <w:rFonts w:ascii="Century Gothic" w:hAnsi="Century Gothic"/>
        <w:sz w:val="18"/>
        <w:szCs w:val="18"/>
      </w:rPr>
      <w:tab/>
    </w:r>
    <w:r w:rsidR="00971E71" w:rsidRPr="0034009B">
      <w:rPr>
        <w:rFonts w:ascii="Century Gothic" w:hAnsi="Century Gothic"/>
        <w:sz w:val="18"/>
        <w:szCs w:val="18"/>
      </w:rPr>
      <w:tab/>
    </w:r>
    <w:r w:rsidR="00971E71" w:rsidRPr="00C97A00">
      <w:rPr>
        <w:rFonts w:ascii="Century Gothic" w:hAnsi="Century Gothic"/>
        <w:color w:val="000000" w:themeColor="text1"/>
        <w:sz w:val="18"/>
        <w:szCs w:val="18"/>
      </w:rPr>
      <w:t xml:space="preserve">           Page </w:t>
    </w:r>
    <w:r w:rsidR="00971E71" w:rsidRPr="00C97A00">
      <w:rPr>
        <w:rFonts w:ascii="Century Gothic" w:eastAsiaTheme="minorEastAsia" w:hAnsi="Century Gothic"/>
        <w:color w:val="000000" w:themeColor="text1"/>
        <w:sz w:val="18"/>
        <w:szCs w:val="18"/>
      </w:rPr>
      <w:fldChar w:fldCharType="begin"/>
    </w:r>
    <w:r w:rsidR="00971E71" w:rsidRPr="00C97A00">
      <w:rPr>
        <w:rFonts w:ascii="Century Gothic" w:hAnsi="Century Gothic"/>
        <w:color w:val="000000" w:themeColor="text1"/>
        <w:sz w:val="18"/>
        <w:szCs w:val="18"/>
      </w:rPr>
      <w:instrText xml:space="preserve"> PAGE    \* MERGEFORMAT </w:instrText>
    </w:r>
    <w:r w:rsidR="00971E71" w:rsidRPr="00C97A00">
      <w:rPr>
        <w:rFonts w:ascii="Century Gothic" w:eastAsiaTheme="minorEastAsia" w:hAnsi="Century Gothic"/>
        <w:color w:val="000000" w:themeColor="text1"/>
        <w:sz w:val="18"/>
        <w:szCs w:val="18"/>
      </w:rPr>
      <w:fldChar w:fldCharType="separate"/>
    </w:r>
    <w:r w:rsidR="00971E71" w:rsidRPr="00C97A00">
      <w:rPr>
        <w:rFonts w:ascii="Century Gothic" w:eastAsiaTheme="minorEastAsia" w:hAnsi="Century Gothic"/>
        <w:color w:val="000000" w:themeColor="text1"/>
        <w:sz w:val="18"/>
        <w:szCs w:val="18"/>
      </w:rPr>
      <w:t>5</w:t>
    </w:r>
    <w:r w:rsidR="00971E71" w:rsidRPr="00C97A00">
      <w:rPr>
        <w:rFonts w:ascii="Century Gothic" w:eastAsiaTheme="majorEastAsia" w:hAnsi="Century Gothic" w:cstheme="majorBidi"/>
        <w:noProof/>
        <w:color w:val="000000" w:themeColor="text1"/>
        <w:sz w:val="18"/>
        <w:szCs w:val="18"/>
      </w:rPr>
      <w:fldChar w:fldCharType="end"/>
    </w:r>
    <w:r w:rsidR="00971E71" w:rsidRPr="00C97A00">
      <w:rPr>
        <w:rFonts w:ascii="Century Gothic" w:hAnsi="Century Gothic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CBFB51" wp14:editId="5B753D7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889C0D3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 w:rsidR="00971E71" w:rsidRPr="00C97A00">
      <w:rPr>
        <w:rFonts w:ascii="Century Gothic" w:eastAsiaTheme="majorEastAsia" w:hAnsi="Century Gothic" w:cstheme="majorBidi"/>
        <w:color w:val="000000" w:themeColor="text1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48249" w14:textId="25643CBE" w:rsidR="001C3D7B" w:rsidRDefault="001C3D7B">
    <w:pPr>
      <w:pStyle w:val="Footer"/>
    </w:pPr>
    <w:r w:rsidRPr="00C660BE">
      <w:rPr>
        <w:rFonts w:ascii="Century Gothic" w:hAnsi="Century Gothic"/>
        <w:sz w:val="18"/>
        <w:szCs w:val="18"/>
      </w:rPr>
      <w:t>202</w:t>
    </w:r>
    <w:r w:rsidR="00C05BBD">
      <w:rPr>
        <w:rFonts w:ascii="Century Gothic" w:hAnsi="Century Gothic"/>
        <w:sz w:val="18"/>
        <w:szCs w:val="18"/>
      </w:rPr>
      <w:t>3</w:t>
    </w:r>
    <w:r w:rsidRPr="00C660BE">
      <w:rPr>
        <w:rFonts w:ascii="Century Gothic" w:hAnsi="Century Gothic"/>
        <w:sz w:val="18"/>
        <w:szCs w:val="18"/>
      </w:rPr>
      <w:t xml:space="preserve"> </w:t>
    </w:r>
    <w:r w:rsidR="00A861DD">
      <w:rPr>
        <w:rFonts w:ascii="Century Gothic" w:hAnsi="Century Gothic"/>
        <w:sz w:val="18"/>
        <w:szCs w:val="18"/>
      </w:rPr>
      <w:t xml:space="preserve">Carve Out </w:t>
    </w:r>
    <w:r w:rsidR="001713D5">
      <w:rPr>
        <w:rFonts w:ascii="Century Gothic" w:hAnsi="Century Gothic"/>
        <w:sz w:val="18"/>
        <w:szCs w:val="18"/>
      </w:rPr>
      <w:t xml:space="preserve">Benefits </w:t>
    </w:r>
    <w:r w:rsidR="00A861DD">
      <w:rPr>
        <w:rFonts w:ascii="Century Gothic" w:hAnsi="Century Gothic"/>
        <w:sz w:val="18"/>
        <w:szCs w:val="18"/>
      </w:rPr>
      <w:t xml:space="preserve">Talking Points </w:t>
    </w:r>
    <w:r w:rsidRPr="00C660BE">
      <w:rPr>
        <w:rFonts w:ascii="Century Gothic" w:hAnsi="Century Gothic"/>
        <w:sz w:val="18"/>
        <w:szCs w:val="18"/>
      </w:rPr>
      <w:t>V</w:t>
    </w:r>
    <w:r w:rsidR="00D774B9">
      <w:rPr>
        <w:rFonts w:ascii="Century Gothic" w:hAnsi="Century Gothic"/>
        <w:sz w:val="18"/>
        <w:szCs w:val="18"/>
      </w:rPr>
      <w:t>2</w:t>
    </w:r>
    <w:r w:rsidRPr="00C660BE">
      <w:rPr>
        <w:rFonts w:ascii="Century Gothic" w:hAnsi="Century Gothic"/>
        <w:sz w:val="18"/>
        <w:szCs w:val="18"/>
      </w:rPr>
      <w:t>.0_</w:t>
    </w:r>
    <w:r w:rsidR="00D774B9">
      <w:rPr>
        <w:rFonts w:ascii="Century Gothic" w:hAnsi="Century Gothic"/>
        <w:sz w:val="18"/>
        <w:szCs w:val="18"/>
      </w:rPr>
      <w:t>May</w:t>
    </w:r>
    <w:r w:rsidRPr="00C660BE">
      <w:rPr>
        <w:rFonts w:ascii="Century Gothic" w:hAnsi="Century Gothic"/>
        <w:sz w:val="18"/>
        <w:szCs w:val="18"/>
      </w:rPr>
      <w:t xml:space="preserve"> 202</w:t>
    </w:r>
    <w:r w:rsidR="00C05BBD">
      <w:rPr>
        <w:rFonts w:ascii="Century Gothic" w:hAnsi="Century Gothic"/>
        <w:sz w:val="18"/>
        <w:szCs w:val="18"/>
      </w:rPr>
      <w:t>3</w:t>
    </w:r>
    <w:r w:rsidRPr="00C660BE">
      <w:rPr>
        <w:rFonts w:ascii="Century Gothic" w:hAnsi="Century Gothic"/>
        <w:sz w:val="18"/>
        <w:szCs w:val="18"/>
      </w:rPr>
      <w:tab/>
    </w:r>
    <w:r w:rsidRPr="0034009B"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 w:rsidRPr="00C660BE">
      <w:rPr>
        <w:rFonts w:ascii="Century Gothic" w:hAnsi="Century Gothic"/>
        <w:color w:val="000000" w:themeColor="text1"/>
        <w:sz w:val="18"/>
        <w:szCs w:val="18"/>
      </w:rPr>
      <w:t>Page</w:t>
    </w:r>
    <w:r>
      <w:rPr>
        <w:rFonts w:ascii="Century Gothic" w:hAnsi="Century Gothic"/>
        <w:color w:val="000000" w:themeColor="text1"/>
        <w:sz w:val="18"/>
        <w:szCs w:val="18"/>
      </w:rP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5A758" w14:textId="77777777" w:rsidR="00750D12" w:rsidRDefault="00750D12" w:rsidP="00971E71">
      <w:pPr>
        <w:spacing w:after="0" w:line="240" w:lineRule="auto"/>
      </w:pPr>
      <w:r>
        <w:separator/>
      </w:r>
    </w:p>
  </w:footnote>
  <w:footnote w:type="continuationSeparator" w:id="0">
    <w:p w14:paraId="1519E1BA" w14:textId="77777777" w:rsidR="00750D12" w:rsidRDefault="00750D12" w:rsidP="00971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8B052" w14:textId="114D999B" w:rsidR="00000533" w:rsidRPr="00C97A00" w:rsidRDefault="00000533" w:rsidP="00C97A00">
    <w:pPr>
      <w:pBdr>
        <w:bottom w:val="single" w:sz="4" w:space="1" w:color="auto"/>
      </w:pBdr>
      <w:rPr>
        <w:sz w:val="28"/>
        <w:szCs w:val="28"/>
      </w:rPr>
    </w:pPr>
    <w:r>
      <w:rPr>
        <w:rFonts w:ascii="Century Gothic" w:hAnsi="Century Gothic"/>
        <w:b/>
        <w:bCs/>
        <w:noProof/>
        <w:sz w:val="44"/>
        <w:szCs w:val="44"/>
      </w:rPr>
      <w:drawing>
        <wp:inline distT="0" distB="0" distL="0" distR="0" wp14:anchorId="55E83835" wp14:editId="60F6EF35">
          <wp:extent cx="952500" cy="23339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505" cy="235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A861DD">
      <w:rPr>
        <w:rFonts w:ascii="Century Gothic" w:hAnsi="Century Gothic"/>
        <w:b/>
        <w:bCs/>
        <w:sz w:val="28"/>
        <w:szCs w:val="28"/>
      </w:rPr>
      <w:t>Carve Out</w:t>
    </w:r>
    <w:r w:rsidR="00EA15DF">
      <w:rPr>
        <w:rFonts w:ascii="Century Gothic" w:hAnsi="Century Gothic"/>
        <w:b/>
        <w:bCs/>
        <w:sz w:val="28"/>
        <w:szCs w:val="28"/>
      </w:rPr>
      <w:t xml:space="preserve"> Benefits</w:t>
    </w:r>
    <w:r>
      <w:rPr>
        <w:rFonts w:ascii="Century Gothic" w:hAnsi="Century Gothic"/>
        <w:b/>
        <w:bCs/>
        <w:sz w:val="28"/>
        <w:szCs w:val="28"/>
      </w:rPr>
      <w:t xml:space="preserve">:  </w:t>
    </w:r>
    <w:r w:rsidRPr="00C97A00">
      <w:rPr>
        <w:rFonts w:ascii="Century Gothic" w:hAnsi="Century Gothic"/>
        <w:b/>
        <w:bCs/>
        <w:sz w:val="28"/>
        <w:szCs w:val="28"/>
      </w:rPr>
      <w:t xml:space="preserve"> </w:t>
    </w:r>
    <w:r w:rsidR="00625DB4">
      <w:rPr>
        <w:rFonts w:ascii="Century Gothic" w:hAnsi="Century Gothic"/>
        <w:b/>
        <w:bCs/>
        <w:sz w:val="28"/>
        <w:szCs w:val="28"/>
      </w:rPr>
      <w:t xml:space="preserve">Provider </w:t>
    </w:r>
    <w:r w:rsidR="00E22843">
      <w:rPr>
        <w:rFonts w:ascii="Century Gothic" w:hAnsi="Century Gothic"/>
        <w:b/>
        <w:bCs/>
        <w:sz w:val="28"/>
        <w:szCs w:val="28"/>
      </w:rPr>
      <w:t>Talking Points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701B"/>
    <w:multiLevelType w:val="hybridMultilevel"/>
    <w:tmpl w:val="293AF25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45CD"/>
    <w:multiLevelType w:val="hybridMultilevel"/>
    <w:tmpl w:val="37BEC0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76B24"/>
    <w:multiLevelType w:val="hybridMultilevel"/>
    <w:tmpl w:val="37AC3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30A2B"/>
    <w:multiLevelType w:val="hybridMultilevel"/>
    <w:tmpl w:val="8D8000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94212"/>
    <w:multiLevelType w:val="hybridMultilevel"/>
    <w:tmpl w:val="FDF68B4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81E3E"/>
    <w:multiLevelType w:val="hybridMultilevel"/>
    <w:tmpl w:val="CB6ED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36FC0"/>
    <w:multiLevelType w:val="multilevel"/>
    <w:tmpl w:val="CF86E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100C98"/>
    <w:multiLevelType w:val="hybridMultilevel"/>
    <w:tmpl w:val="15C23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046B6"/>
    <w:multiLevelType w:val="hybridMultilevel"/>
    <w:tmpl w:val="BE80B20E"/>
    <w:lvl w:ilvl="0" w:tplc="6BA63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1F4901"/>
    <w:multiLevelType w:val="hybridMultilevel"/>
    <w:tmpl w:val="ED8A4D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5D10D1"/>
    <w:multiLevelType w:val="hybridMultilevel"/>
    <w:tmpl w:val="96CCB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26231"/>
    <w:multiLevelType w:val="hybridMultilevel"/>
    <w:tmpl w:val="B63CCB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169D5"/>
    <w:multiLevelType w:val="hybridMultilevel"/>
    <w:tmpl w:val="B66A6E50"/>
    <w:lvl w:ilvl="0" w:tplc="BC86D85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0314B"/>
    <w:multiLevelType w:val="hybridMultilevel"/>
    <w:tmpl w:val="82DA4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89186A"/>
    <w:multiLevelType w:val="hybridMultilevel"/>
    <w:tmpl w:val="293AF25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96D93"/>
    <w:multiLevelType w:val="hybridMultilevel"/>
    <w:tmpl w:val="BA167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D20F6"/>
    <w:multiLevelType w:val="hybridMultilevel"/>
    <w:tmpl w:val="87764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F0D76"/>
    <w:multiLevelType w:val="hybridMultilevel"/>
    <w:tmpl w:val="EB9448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C125E"/>
    <w:multiLevelType w:val="hybridMultilevel"/>
    <w:tmpl w:val="08B2D334"/>
    <w:lvl w:ilvl="0" w:tplc="BC86D85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F20D3"/>
    <w:multiLevelType w:val="hybridMultilevel"/>
    <w:tmpl w:val="0884F40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77C8E"/>
    <w:multiLevelType w:val="hybridMultilevel"/>
    <w:tmpl w:val="59A81E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2E1E91"/>
    <w:multiLevelType w:val="hybridMultilevel"/>
    <w:tmpl w:val="C4220782"/>
    <w:lvl w:ilvl="0" w:tplc="AF8E48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101B3"/>
    <w:multiLevelType w:val="hybridMultilevel"/>
    <w:tmpl w:val="AEBA9E06"/>
    <w:lvl w:ilvl="0" w:tplc="8EC22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A1BA0"/>
    <w:multiLevelType w:val="hybridMultilevel"/>
    <w:tmpl w:val="E78CA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8453F7"/>
    <w:multiLevelType w:val="hybridMultilevel"/>
    <w:tmpl w:val="E0EC5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22659"/>
    <w:multiLevelType w:val="hybridMultilevel"/>
    <w:tmpl w:val="57CA64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54EDD"/>
    <w:multiLevelType w:val="hybridMultilevel"/>
    <w:tmpl w:val="ADC04D32"/>
    <w:lvl w:ilvl="0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7CAC28F2"/>
    <w:multiLevelType w:val="hybridMultilevel"/>
    <w:tmpl w:val="32CC4CD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41629727">
    <w:abstractNumId w:val="23"/>
  </w:num>
  <w:num w:numId="2" w16cid:durableId="1004625157">
    <w:abstractNumId w:val="24"/>
  </w:num>
  <w:num w:numId="3" w16cid:durableId="1680548287">
    <w:abstractNumId w:val="15"/>
  </w:num>
  <w:num w:numId="4" w16cid:durableId="601887831">
    <w:abstractNumId w:val="27"/>
  </w:num>
  <w:num w:numId="5" w16cid:durableId="1883639899">
    <w:abstractNumId w:val="9"/>
  </w:num>
  <w:num w:numId="6" w16cid:durableId="1655526483">
    <w:abstractNumId w:val="13"/>
  </w:num>
  <w:num w:numId="7" w16cid:durableId="1742480959">
    <w:abstractNumId w:val="21"/>
  </w:num>
  <w:num w:numId="8" w16cid:durableId="167403599">
    <w:abstractNumId w:val="17"/>
  </w:num>
  <w:num w:numId="9" w16cid:durableId="2114520164">
    <w:abstractNumId w:val="1"/>
  </w:num>
  <w:num w:numId="10" w16cid:durableId="508450065">
    <w:abstractNumId w:val="10"/>
  </w:num>
  <w:num w:numId="11" w16cid:durableId="1765373716">
    <w:abstractNumId w:val="19"/>
  </w:num>
  <w:num w:numId="12" w16cid:durableId="141511296">
    <w:abstractNumId w:val="0"/>
  </w:num>
  <w:num w:numId="13" w16cid:durableId="2078046141">
    <w:abstractNumId w:val="18"/>
  </w:num>
  <w:num w:numId="14" w16cid:durableId="881788258">
    <w:abstractNumId w:val="12"/>
  </w:num>
  <w:num w:numId="15" w16cid:durableId="1043676834">
    <w:abstractNumId w:val="4"/>
  </w:num>
  <w:num w:numId="16" w16cid:durableId="1025015199">
    <w:abstractNumId w:val="2"/>
  </w:num>
  <w:num w:numId="17" w16cid:durableId="928545315">
    <w:abstractNumId w:val="26"/>
  </w:num>
  <w:num w:numId="18" w16cid:durableId="1062828971">
    <w:abstractNumId w:val="14"/>
  </w:num>
  <w:num w:numId="19" w16cid:durableId="868110079">
    <w:abstractNumId w:val="3"/>
  </w:num>
  <w:num w:numId="20" w16cid:durableId="263463238">
    <w:abstractNumId w:val="6"/>
  </w:num>
  <w:num w:numId="21" w16cid:durableId="959606800">
    <w:abstractNumId w:val="11"/>
  </w:num>
  <w:num w:numId="22" w16cid:durableId="689993509">
    <w:abstractNumId w:val="7"/>
  </w:num>
  <w:num w:numId="23" w16cid:durableId="258099992">
    <w:abstractNumId w:val="25"/>
  </w:num>
  <w:num w:numId="24" w16cid:durableId="350880724">
    <w:abstractNumId w:val="5"/>
  </w:num>
  <w:num w:numId="25" w16cid:durableId="1375153405">
    <w:abstractNumId w:val="8"/>
  </w:num>
  <w:num w:numId="26" w16cid:durableId="1089086528">
    <w:abstractNumId w:val="20"/>
  </w:num>
  <w:num w:numId="27" w16cid:durableId="787892550">
    <w:abstractNumId w:val="16"/>
  </w:num>
  <w:num w:numId="28" w16cid:durableId="17131867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66"/>
    <w:rsid w:val="00000533"/>
    <w:rsid w:val="00007BA9"/>
    <w:rsid w:val="000106C7"/>
    <w:rsid w:val="000116AB"/>
    <w:rsid w:val="00030BFC"/>
    <w:rsid w:val="0004046B"/>
    <w:rsid w:val="00042B10"/>
    <w:rsid w:val="000564CA"/>
    <w:rsid w:val="000803AF"/>
    <w:rsid w:val="00087F2A"/>
    <w:rsid w:val="000A13B4"/>
    <w:rsid w:val="000A2E0C"/>
    <w:rsid w:val="000B7EAB"/>
    <w:rsid w:val="000C4D27"/>
    <w:rsid w:val="000C5A6E"/>
    <w:rsid w:val="000C6E77"/>
    <w:rsid w:val="000E024E"/>
    <w:rsid w:val="000E6CF2"/>
    <w:rsid w:val="000F30C3"/>
    <w:rsid w:val="000F3F1C"/>
    <w:rsid w:val="001327F6"/>
    <w:rsid w:val="00146A2E"/>
    <w:rsid w:val="00166028"/>
    <w:rsid w:val="001662D3"/>
    <w:rsid w:val="001713D5"/>
    <w:rsid w:val="00172622"/>
    <w:rsid w:val="0017474F"/>
    <w:rsid w:val="00194F91"/>
    <w:rsid w:val="0019701B"/>
    <w:rsid w:val="00197ED1"/>
    <w:rsid w:val="001B143F"/>
    <w:rsid w:val="001B1E1C"/>
    <w:rsid w:val="001B44A0"/>
    <w:rsid w:val="001C1A76"/>
    <w:rsid w:val="001C2327"/>
    <w:rsid w:val="001C3D7B"/>
    <w:rsid w:val="001D3047"/>
    <w:rsid w:val="001D32C6"/>
    <w:rsid w:val="001D6AA3"/>
    <w:rsid w:val="001E152C"/>
    <w:rsid w:val="001E3CD6"/>
    <w:rsid w:val="00204609"/>
    <w:rsid w:val="00224DDA"/>
    <w:rsid w:val="00232607"/>
    <w:rsid w:val="002406BB"/>
    <w:rsid w:val="00264DAD"/>
    <w:rsid w:val="00265F98"/>
    <w:rsid w:val="00267E95"/>
    <w:rsid w:val="002708DA"/>
    <w:rsid w:val="002830DF"/>
    <w:rsid w:val="00292BFC"/>
    <w:rsid w:val="0029746A"/>
    <w:rsid w:val="002A6027"/>
    <w:rsid w:val="002A66E8"/>
    <w:rsid w:val="002B66FB"/>
    <w:rsid w:val="002C2D73"/>
    <w:rsid w:val="002D3464"/>
    <w:rsid w:val="002F07E7"/>
    <w:rsid w:val="002F691D"/>
    <w:rsid w:val="00302766"/>
    <w:rsid w:val="00303487"/>
    <w:rsid w:val="0034009B"/>
    <w:rsid w:val="0034472A"/>
    <w:rsid w:val="00347716"/>
    <w:rsid w:val="00357954"/>
    <w:rsid w:val="00380F66"/>
    <w:rsid w:val="00383BCF"/>
    <w:rsid w:val="00392F63"/>
    <w:rsid w:val="0039405E"/>
    <w:rsid w:val="003A407B"/>
    <w:rsid w:val="003A5AE3"/>
    <w:rsid w:val="003C0864"/>
    <w:rsid w:val="003C1D2E"/>
    <w:rsid w:val="003D77BC"/>
    <w:rsid w:val="003E0C6C"/>
    <w:rsid w:val="003E4CB0"/>
    <w:rsid w:val="003F41EE"/>
    <w:rsid w:val="004622E5"/>
    <w:rsid w:val="00477E4D"/>
    <w:rsid w:val="00497084"/>
    <w:rsid w:val="004A73B3"/>
    <w:rsid w:val="004B6D39"/>
    <w:rsid w:val="004C3DFA"/>
    <w:rsid w:val="004D0215"/>
    <w:rsid w:val="004E0E6C"/>
    <w:rsid w:val="004E3581"/>
    <w:rsid w:val="004F12C3"/>
    <w:rsid w:val="004F6F14"/>
    <w:rsid w:val="004F703B"/>
    <w:rsid w:val="00501339"/>
    <w:rsid w:val="005102BD"/>
    <w:rsid w:val="00514801"/>
    <w:rsid w:val="00536392"/>
    <w:rsid w:val="00540A98"/>
    <w:rsid w:val="005635D0"/>
    <w:rsid w:val="005637F6"/>
    <w:rsid w:val="00572324"/>
    <w:rsid w:val="00582E8E"/>
    <w:rsid w:val="005947B7"/>
    <w:rsid w:val="00600C8D"/>
    <w:rsid w:val="00605073"/>
    <w:rsid w:val="00606882"/>
    <w:rsid w:val="00610520"/>
    <w:rsid w:val="00625DB4"/>
    <w:rsid w:val="006302FF"/>
    <w:rsid w:val="00650685"/>
    <w:rsid w:val="00652BCF"/>
    <w:rsid w:val="00653565"/>
    <w:rsid w:val="00672A69"/>
    <w:rsid w:val="006A55DD"/>
    <w:rsid w:val="006B4D2B"/>
    <w:rsid w:val="006B551D"/>
    <w:rsid w:val="006E62DE"/>
    <w:rsid w:val="006E6951"/>
    <w:rsid w:val="00705A92"/>
    <w:rsid w:val="00715241"/>
    <w:rsid w:val="00716933"/>
    <w:rsid w:val="00734758"/>
    <w:rsid w:val="007424E0"/>
    <w:rsid w:val="00750D12"/>
    <w:rsid w:val="0075136F"/>
    <w:rsid w:val="00772CE4"/>
    <w:rsid w:val="00790ABB"/>
    <w:rsid w:val="007A11F1"/>
    <w:rsid w:val="007B0CD0"/>
    <w:rsid w:val="007B4BF4"/>
    <w:rsid w:val="007D3B6B"/>
    <w:rsid w:val="00807F27"/>
    <w:rsid w:val="00820BF0"/>
    <w:rsid w:val="0083063B"/>
    <w:rsid w:val="00837D7E"/>
    <w:rsid w:val="00855C39"/>
    <w:rsid w:val="00884BAF"/>
    <w:rsid w:val="00893C02"/>
    <w:rsid w:val="008A4377"/>
    <w:rsid w:val="008B024A"/>
    <w:rsid w:val="008B157C"/>
    <w:rsid w:val="008B4078"/>
    <w:rsid w:val="008C1A46"/>
    <w:rsid w:val="008C4566"/>
    <w:rsid w:val="008D150B"/>
    <w:rsid w:val="008D6764"/>
    <w:rsid w:val="009042B5"/>
    <w:rsid w:val="00920449"/>
    <w:rsid w:val="00936E52"/>
    <w:rsid w:val="009478F8"/>
    <w:rsid w:val="009525A8"/>
    <w:rsid w:val="00963BE7"/>
    <w:rsid w:val="00971E71"/>
    <w:rsid w:val="00974658"/>
    <w:rsid w:val="009C4EC2"/>
    <w:rsid w:val="009D0010"/>
    <w:rsid w:val="009D3DB1"/>
    <w:rsid w:val="009F12C1"/>
    <w:rsid w:val="009F35DA"/>
    <w:rsid w:val="00A13B73"/>
    <w:rsid w:val="00A26CC6"/>
    <w:rsid w:val="00A30074"/>
    <w:rsid w:val="00A3142D"/>
    <w:rsid w:val="00A41FE1"/>
    <w:rsid w:val="00A54604"/>
    <w:rsid w:val="00A54EBC"/>
    <w:rsid w:val="00A619B4"/>
    <w:rsid w:val="00A66A97"/>
    <w:rsid w:val="00A85C54"/>
    <w:rsid w:val="00A861DD"/>
    <w:rsid w:val="00A90A5A"/>
    <w:rsid w:val="00AA460C"/>
    <w:rsid w:val="00AC5575"/>
    <w:rsid w:val="00AD641C"/>
    <w:rsid w:val="00AD79D4"/>
    <w:rsid w:val="00AE149C"/>
    <w:rsid w:val="00AE14AD"/>
    <w:rsid w:val="00AE2958"/>
    <w:rsid w:val="00B35F9B"/>
    <w:rsid w:val="00B603DD"/>
    <w:rsid w:val="00B6052A"/>
    <w:rsid w:val="00B669EE"/>
    <w:rsid w:val="00B66F4A"/>
    <w:rsid w:val="00BC23FC"/>
    <w:rsid w:val="00BC3F15"/>
    <w:rsid w:val="00BE1DE1"/>
    <w:rsid w:val="00BF51C8"/>
    <w:rsid w:val="00BF7C77"/>
    <w:rsid w:val="00C05BBD"/>
    <w:rsid w:val="00C15ABC"/>
    <w:rsid w:val="00C25BEA"/>
    <w:rsid w:val="00C554E4"/>
    <w:rsid w:val="00C80408"/>
    <w:rsid w:val="00C97A00"/>
    <w:rsid w:val="00CC0EC7"/>
    <w:rsid w:val="00CD0636"/>
    <w:rsid w:val="00CD13D0"/>
    <w:rsid w:val="00CD39EF"/>
    <w:rsid w:val="00CE762A"/>
    <w:rsid w:val="00D14CB5"/>
    <w:rsid w:val="00D16824"/>
    <w:rsid w:val="00D53166"/>
    <w:rsid w:val="00D56236"/>
    <w:rsid w:val="00D6148C"/>
    <w:rsid w:val="00D774B9"/>
    <w:rsid w:val="00D80A84"/>
    <w:rsid w:val="00D87311"/>
    <w:rsid w:val="00D92486"/>
    <w:rsid w:val="00D95A41"/>
    <w:rsid w:val="00DA7245"/>
    <w:rsid w:val="00DB3AD6"/>
    <w:rsid w:val="00DB42C4"/>
    <w:rsid w:val="00DC1595"/>
    <w:rsid w:val="00DD724D"/>
    <w:rsid w:val="00DE2EAC"/>
    <w:rsid w:val="00DE3564"/>
    <w:rsid w:val="00DF4AD4"/>
    <w:rsid w:val="00E11814"/>
    <w:rsid w:val="00E22843"/>
    <w:rsid w:val="00E318FD"/>
    <w:rsid w:val="00E350CE"/>
    <w:rsid w:val="00E375A2"/>
    <w:rsid w:val="00E70172"/>
    <w:rsid w:val="00E732A6"/>
    <w:rsid w:val="00E76162"/>
    <w:rsid w:val="00EA15DF"/>
    <w:rsid w:val="00EB00FD"/>
    <w:rsid w:val="00EC77DD"/>
    <w:rsid w:val="00EF7B96"/>
    <w:rsid w:val="00F01112"/>
    <w:rsid w:val="00F10411"/>
    <w:rsid w:val="00F12071"/>
    <w:rsid w:val="00F17FCA"/>
    <w:rsid w:val="00F24971"/>
    <w:rsid w:val="00F24A42"/>
    <w:rsid w:val="00F44DD4"/>
    <w:rsid w:val="00F70246"/>
    <w:rsid w:val="00F81AFE"/>
    <w:rsid w:val="00F967D7"/>
    <w:rsid w:val="00F97646"/>
    <w:rsid w:val="00FA708A"/>
    <w:rsid w:val="00FB309B"/>
    <w:rsid w:val="00FC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28620"/>
  <w15:chartTrackingRefBased/>
  <w15:docId w15:val="{579C7198-AD07-4A33-A545-18395AC2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F967D7"/>
    <w:pPr>
      <w:spacing w:before="120" w:after="0" w:line="276" w:lineRule="auto"/>
      <w:outlineLvl w:val="0"/>
    </w:pPr>
    <w:rPr>
      <w:rFonts w:ascii="Century Gothic" w:hAnsi="Century Gothic" w:cs="Arial"/>
      <w:b/>
      <w:color w:val="0F0F59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02766"/>
    <w:pPr>
      <w:ind w:left="720"/>
      <w:contextualSpacing/>
    </w:pPr>
  </w:style>
  <w:style w:type="paragraph" w:styleId="Revision">
    <w:name w:val="Revision"/>
    <w:hidden/>
    <w:uiPriority w:val="99"/>
    <w:semiHidden/>
    <w:rsid w:val="0017262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F967D7"/>
    <w:rPr>
      <w:rFonts w:ascii="Century Gothic" w:hAnsi="Century Gothic" w:cs="Arial"/>
      <w:b/>
      <w:color w:val="0F0F59"/>
      <w:sz w:val="36"/>
    </w:rPr>
  </w:style>
  <w:style w:type="character" w:styleId="Hyperlink">
    <w:name w:val="Hyperlink"/>
    <w:uiPriority w:val="99"/>
    <w:rsid w:val="00F967D7"/>
    <w:rPr>
      <w:color w:val="00A994"/>
      <w:u w:val="single"/>
    </w:rPr>
  </w:style>
  <w:style w:type="paragraph" w:styleId="TOC1">
    <w:name w:val="toc 1"/>
    <w:basedOn w:val="Normal"/>
    <w:next w:val="Normal"/>
    <w:uiPriority w:val="39"/>
    <w:qFormat/>
    <w:rsid w:val="00F967D7"/>
    <w:pPr>
      <w:tabs>
        <w:tab w:val="right" w:leader="dot" w:pos="9360"/>
      </w:tabs>
      <w:spacing w:before="120" w:after="120" w:line="240" w:lineRule="auto"/>
    </w:pPr>
    <w:rPr>
      <w:rFonts w:ascii="Century Gothic" w:eastAsia="Times New Roman" w:hAnsi="Century Gothic" w:cs="Arial"/>
      <w:noProof/>
      <w:color w:val="0F1959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967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967D7"/>
  </w:style>
  <w:style w:type="character" w:customStyle="1" w:styleId="ListParagraphChar">
    <w:name w:val="List Paragraph Char"/>
    <w:basedOn w:val="DefaultParagraphFont"/>
    <w:link w:val="ListParagraph"/>
    <w:uiPriority w:val="34"/>
    <w:rsid w:val="00F967D7"/>
  </w:style>
  <w:style w:type="table" w:styleId="TableGrid">
    <w:name w:val="Table Grid"/>
    <w:basedOn w:val="TableNormal"/>
    <w:uiPriority w:val="39"/>
    <w:rsid w:val="00F96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83B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B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B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B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BC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1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E71"/>
  </w:style>
  <w:style w:type="paragraph" w:styleId="Footer">
    <w:name w:val="footer"/>
    <w:basedOn w:val="Normal"/>
    <w:link w:val="FooterChar"/>
    <w:uiPriority w:val="99"/>
    <w:unhideWhenUsed/>
    <w:rsid w:val="00971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E71"/>
  </w:style>
  <w:style w:type="character" w:customStyle="1" w:styleId="pspdfkit-6fq5ysqkmc2gc1fek9b659qfh8">
    <w:name w:val="pspdfkit-6fq5ysqkmc2gc1fek9b659qfh8"/>
    <w:basedOn w:val="DefaultParagraphFont"/>
    <w:rsid w:val="005102BD"/>
  </w:style>
  <w:style w:type="character" w:styleId="UnresolvedMention">
    <w:name w:val="Unresolved Mention"/>
    <w:basedOn w:val="DefaultParagraphFont"/>
    <w:uiPriority w:val="99"/>
    <w:semiHidden/>
    <w:unhideWhenUsed/>
    <w:rsid w:val="00C25B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1E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4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edicalpolicy@scanhealthplan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E6153-FB3B-43D4-8762-9AAEAEB77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Diaz</dc:creator>
  <cp:keywords/>
  <dc:description/>
  <cp:lastModifiedBy>Nancy Waymire</cp:lastModifiedBy>
  <cp:revision>2</cp:revision>
  <cp:lastPrinted>2022-10-05T22:51:00Z</cp:lastPrinted>
  <dcterms:created xsi:type="dcterms:W3CDTF">2023-06-08T21:48:00Z</dcterms:created>
  <dcterms:modified xsi:type="dcterms:W3CDTF">2023-06-08T21:48:00Z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636436189</vt:i4>
  </property>
  <property fmtid="{D5CDD505-2E9C-101B-9397-08002B2CF9AE}" pid="3" name="_NewReviewCycle">
    <vt:lpwstr/>
  </property>
  <property fmtid="{D5CDD505-2E9C-101B-9397-08002B2CF9AE}" pid="4" name="_EmailSubject">
    <vt:lpwstr>Need Your Assistance Reviewing Draft Talking Points for Carve Out Benefits </vt:lpwstr>
  </property>
  <property fmtid="{D5CDD505-2E9C-101B-9397-08002B2CF9AE}" pid="5" name="_AuthorEmail">
    <vt:lpwstr>KUchimiya@scanhealthplan.com</vt:lpwstr>
  </property>
  <property fmtid="{D5CDD505-2E9C-101B-9397-08002B2CF9AE}" pid="6" name="_AuthorEmailDisplayName">
    <vt:lpwstr>Karen Uchimiya</vt:lpwstr>
  </property>
  <property fmtid="{D5CDD505-2E9C-101B-9397-08002B2CF9AE}" pid="7" name="_ReviewingToolsShownOnce">
    <vt:lpwstr/>
  </property>
</Properties>
</file>